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45" w:rsidRPr="00880F05" w:rsidRDefault="00641045" w:rsidP="00641045">
      <w:pPr>
        <w:jc w:val="center"/>
        <w:outlineLvl w:val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Article Title</w:t>
      </w:r>
    </w:p>
    <w:p w:rsidR="00641045" w:rsidRPr="00AC2837" w:rsidRDefault="00641045" w:rsidP="00641045">
      <w:pPr>
        <w:spacing w:before="120" w:after="120"/>
        <w:jc w:val="center"/>
        <w:outlineLvl w:val="0"/>
        <w:rPr>
          <w:sz w:val="28"/>
          <w:szCs w:val="28"/>
          <w:vertAlign w:val="superscript"/>
          <w:lang w:val="en-US"/>
        </w:rPr>
      </w:pPr>
      <w:r>
        <w:rPr>
          <w:b/>
          <w:bCs/>
          <w:sz w:val="28"/>
          <w:szCs w:val="28"/>
          <w:lang w:val="en-US"/>
        </w:rPr>
        <w:t>Ivanov</w:t>
      </w:r>
      <w:r w:rsidRPr="00FC005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FC0059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>I</w:t>
      </w:r>
      <w:r w:rsidRPr="00FC0059">
        <w:rPr>
          <w:b/>
          <w:bCs/>
          <w:sz w:val="28"/>
          <w:szCs w:val="28"/>
          <w:lang w:val="en-US"/>
        </w:rPr>
        <w:t>.</w:t>
      </w:r>
      <w:r w:rsidRPr="00FC0059">
        <w:rPr>
          <w:b/>
          <w:bCs/>
          <w:sz w:val="28"/>
          <w:szCs w:val="28"/>
          <w:vertAlign w:val="superscript"/>
          <w:lang w:val="en-US"/>
        </w:rPr>
        <w:t>1</w:t>
      </w:r>
      <w:r w:rsidRPr="00FC0059"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Petrov</w:t>
      </w:r>
      <w:proofErr w:type="spellEnd"/>
      <w:r>
        <w:rPr>
          <w:b/>
          <w:bCs/>
          <w:sz w:val="28"/>
          <w:szCs w:val="28"/>
          <w:lang w:val="en-US"/>
        </w:rPr>
        <w:t xml:space="preserve"> P.P</w:t>
      </w:r>
      <w:r w:rsidRPr="00FC0059">
        <w:rPr>
          <w:b/>
          <w:bCs/>
          <w:sz w:val="28"/>
          <w:szCs w:val="28"/>
          <w:lang w:val="en-US"/>
        </w:rPr>
        <w:t>.</w:t>
      </w:r>
      <w:r w:rsidRPr="00AC2837">
        <w:rPr>
          <w:b/>
          <w:sz w:val="28"/>
          <w:szCs w:val="28"/>
          <w:vertAlign w:val="superscript"/>
          <w:lang w:val="en-US"/>
        </w:rPr>
        <w:t>2</w:t>
      </w:r>
    </w:p>
    <w:p w:rsidR="00641045" w:rsidRPr="00FC0059" w:rsidRDefault="00641045" w:rsidP="00641045">
      <w:pPr>
        <w:pStyle w:val="a8"/>
        <w:rPr>
          <w:i/>
          <w:iCs/>
          <w:sz w:val="24"/>
          <w:szCs w:val="24"/>
        </w:rPr>
      </w:pPr>
      <w:r w:rsidRPr="00FC0059">
        <w:rPr>
          <w:iCs/>
          <w:sz w:val="24"/>
          <w:szCs w:val="24"/>
          <w:vertAlign w:val="superscript"/>
        </w:rPr>
        <w:t>1</w:t>
      </w:r>
      <w:r w:rsidRPr="00FC0059">
        <w:rPr>
          <w:i/>
          <w:iCs/>
          <w:sz w:val="24"/>
          <w:szCs w:val="24"/>
        </w:rPr>
        <w:t xml:space="preserve">Institute </w:t>
      </w:r>
      <w:r>
        <w:rPr>
          <w:i/>
          <w:iCs/>
          <w:sz w:val="24"/>
          <w:szCs w:val="24"/>
        </w:rPr>
        <w:t>of Mathematical Problems of Biology</w:t>
      </w:r>
      <w:r w:rsidRPr="00FC00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RAS</w:t>
      </w:r>
      <w:r w:rsidRPr="00FC0059"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Pushchino</w:t>
      </w:r>
      <w:proofErr w:type="spellEnd"/>
      <w:r>
        <w:rPr>
          <w:i/>
          <w:iCs/>
          <w:sz w:val="24"/>
          <w:szCs w:val="24"/>
        </w:rPr>
        <w:t>, Russia</w:t>
      </w:r>
    </w:p>
    <w:p w:rsidR="00641045" w:rsidRPr="00EF0B20" w:rsidRDefault="00641045" w:rsidP="00641045">
      <w:pPr>
        <w:pStyle w:val="a8"/>
        <w:rPr>
          <w:iCs/>
        </w:rPr>
      </w:pPr>
      <w:r w:rsidRPr="00EF0B20">
        <w:rPr>
          <w:iCs/>
          <w:sz w:val="24"/>
          <w:szCs w:val="24"/>
          <w:vertAlign w:val="superscript"/>
        </w:rPr>
        <w:t>2</w:t>
      </w:r>
      <w:r w:rsidRPr="00EF0B20">
        <w:rPr>
          <w:i/>
          <w:iCs/>
          <w:sz w:val="24"/>
          <w:szCs w:val="24"/>
        </w:rPr>
        <w:t xml:space="preserve">Moscow State University M.V. </w:t>
      </w:r>
      <w:proofErr w:type="spellStart"/>
      <w:r w:rsidRPr="00EF0B20">
        <w:rPr>
          <w:i/>
          <w:iCs/>
          <w:sz w:val="24"/>
          <w:szCs w:val="24"/>
        </w:rPr>
        <w:t>Lomonosov</w:t>
      </w:r>
      <w:proofErr w:type="spellEnd"/>
      <w:r>
        <w:rPr>
          <w:i/>
          <w:iCs/>
          <w:sz w:val="24"/>
          <w:szCs w:val="24"/>
        </w:rPr>
        <w:t>,</w:t>
      </w:r>
      <w:r w:rsidRPr="00EF0B2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Moscow</w:t>
      </w:r>
      <w:r w:rsidRPr="00EF0B20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Russia</w:t>
      </w:r>
    </w:p>
    <w:p w:rsidR="006B1207" w:rsidRPr="00880F05" w:rsidRDefault="006B1207">
      <w:pPr>
        <w:pStyle w:val="a8"/>
        <w:rPr>
          <w:i/>
          <w:iCs/>
          <w:sz w:val="24"/>
          <w:szCs w:val="24"/>
        </w:rPr>
      </w:pPr>
    </w:p>
    <w:p w:rsidR="006B1207" w:rsidRPr="00880F05" w:rsidRDefault="00641045" w:rsidP="00E30626">
      <w:pPr>
        <w:ind w:left="851" w:right="851"/>
        <w:jc w:val="both"/>
        <w:rPr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Abstract</w:t>
      </w:r>
      <w:r w:rsidR="006B1207" w:rsidRPr="00880F05">
        <w:rPr>
          <w:b/>
          <w:bCs/>
          <w:sz w:val="22"/>
          <w:szCs w:val="22"/>
          <w:lang w:val="en-US"/>
        </w:rPr>
        <w:t>.</w:t>
      </w:r>
      <w:r w:rsidR="006B1207" w:rsidRPr="00880F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abstract should be a summary of the work and its main findings</w:t>
      </w:r>
      <w:r w:rsidR="00906ECE" w:rsidRPr="00880F05">
        <w:rPr>
          <w:sz w:val="22"/>
          <w:szCs w:val="22"/>
          <w:lang w:val="en-US"/>
        </w:rPr>
        <w:t>.</w:t>
      </w:r>
      <w:r w:rsidR="00E454B0" w:rsidRPr="00880F05">
        <w:rPr>
          <w:sz w:val="22"/>
          <w:szCs w:val="22"/>
          <w:lang w:val="en-US"/>
        </w:rPr>
        <w:t xml:space="preserve"> </w:t>
      </w:r>
      <w:r w:rsidR="00866512">
        <w:rPr>
          <w:sz w:val="22"/>
          <w:szCs w:val="22"/>
          <w:lang w:val="en-US"/>
        </w:rPr>
        <w:t xml:space="preserve">Its </w:t>
      </w:r>
      <w:r>
        <w:rPr>
          <w:sz w:val="22"/>
          <w:szCs w:val="22"/>
          <w:lang w:val="en-US"/>
        </w:rPr>
        <w:t>text should exclude references and abbreviations</w:t>
      </w:r>
      <w:r w:rsidR="00851D43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be self-contained</w:t>
      </w:r>
      <w:r w:rsidR="00E454B0" w:rsidRPr="00880F05">
        <w:rPr>
          <w:sz w:val="22"/>
          <w:szCs w:val="22"/>
          <w:lang w:val="en-US"/>
        </w:rPr>
        <w:t>,</w:t>
      </w:r>
      <w:r w:rsidR="00906ECE" w:rsidRPr="00880F05">
        <w:rPr>
          <w:sz w:val="22"/>
          <w:szCs w:val="22"/>
          <w:lang w:val="en-US"/>
        </w:rPr>
        <w:t xml:space="preserve"> </w:t>
      </w:r>
      <w:r w:rsidR="00851D43">
        <w:rPr>
          <w:sz w:val="22"/>
          <w:szCs w:val="22"/>
          <w:lang w:val="en-US"/>
        </w:rPr>
        <w:t>and include only clear notations</w:t>
      </w:r>
      <w:r w:rsidR="00906ECE" w:rsidRPr="00880F05">
        <w:rPr>
          <w:sz w:val="22"/>
          <w:szCs w:val="22"/>
          <w:lang w:val="en-US"/>
        </w:rPr>
        <w:t>.</w:t>
      </w:r>
      <w:r w:rsidR="00AB2C0B" w:rsidRPr="00880F05">
        <w:rPr>
          <w:sz w:val="22"/>
          <w:szCs w:val="22"/>
          <w:lang w:val="en-US"/>
        </w:rPr>
        <w:t xml:space="preserve"> </w:t>
      </w:r>
      <w:r w:rsidR="00851D43">
        <w:rPr>
          <w:sz w:val="22"/>
          <w:szCs w:val="22"/>
          <w:lang w:val="en-US"/>
        </w:rPr>
        <w:t xml:space="preserve">The text is limited to one paragraph </w:t>
      </w:r>
      <w:r w:rsidR="00866512">
        <w:rPr>
          <w:sz w:val="22"/>
          <w:szCs w:val="22"/>
          <w:lang w:val="en-US"/>
        </w:rPr>
        <w:t>of</w:t>
      </w:r>
      <w:r w:rsidR="00395315">
        <w:rPr>
          <w:sz w:val="22"/>
          <w:szCs w:val="22"/>
          <w:lang w:val="en-US"/>
        </w:rPr>
        <w:t xml:space="preserve"> </w:t>
      </w:r>
      <w:r w:rsidR="00395315" w:rsidRPr="00880F05">
        <w:rPr>
          <w:sz w:val="22"/>
          <w:szCs w:val="22"/>
          <w:lang w:val="en-US"/>
        </w:rPr>
        <w:t xml:space="preserve">200–250 </w:t>
      </w:r>
      <w:r w:rsidR="00880F05">
        <w:rPr>
          <w:sz w:val="22"/>
          <w:szCs w:val="22"/>
          <w:lang w:val="en-US"/>
        </w:rPr>
        <w:t>words, which</w:t>
      </w:r>
      <w:r w:rsidR="00395315">
        <w:rPr>
          <w:sz w:val="22"/>
          <w:szCs w:val="22"/>
          <w:lang w:val="en-US"/>
        </w:rPr>
        <w:t xml:space="preserve"> is about 25 lines, with 1.5 cm right and left margins.</w:t>
      </w:r>
      <w:r w:rsidR="005C3DFE">
        <w:rPr>
          <w:sz w:val="22"/>
          <w:szCs w:val="22"/>
          <w:lang w:val="en-US"/>
        </w:rPr>
        <w:t xml:space="preserve"> </w:t>
      </w:r>
      <w:r w:rsidR="004B0E0D" w:rsidRPr="00326EE5">
        <w:rPr>
          <w:sz w:val="22"/>
          <w:szCs w:val="22"/>
          <w:lang w:val="en-US"/>
        </w:rPr>
        <w:t xml:space="preserve">URLs </w:t>
      </w:r>
      <w:r w:rsidR="004B0E0D">
        <w:rPr>
          <w:sz w:val="22"/>
          <w:szCs w:val="22"/>
          <w:lang w:val="en-US"/>
        </w:rPr>
        <w:t>may</w:t>
      </w:r>
      <w:r w:rsidR="004B0E0D" w:rsidRPr="00326EE5">
        <w:rPr>
          <w:sz w:val="22"/>
          <w:szCs w:val="22"/>
          <w:lang w:val="en-US"/>
        </w:rPr>
        <w:t xml:space="preserve"> be included only in one case. These must be the links to the websites where data, software or tools referred to in the article </w:t>
      </w:r>
      <w:proofErr w:type="gramStart"/>
      <w:r w:rsidR="004B0E0D" w:rsidRPr="00326EE5">
        <w:rPr>
          <w:sz w:val="22"/>
          <w:szCs w:val="22"/>
          <w:lang w:val="en-US"/>
        </w:rPr>
        <w:t>are hosted</w:t>
      </w:r>
      <w:proofErr w:type="gramEnd"/>
      <w:r w:rsidR="004B0E0D" w:rsidRPr="00326EE5">
        <w:rPr>
          <w:sz w:val="22"/>
          <w:szCs w:val="22"/>
          <w:lang w:val="en-US"/>
        </w:rPr>
        <w:t xml:space="preserve">. </w:t>
      </w:r>
    </w:p>
    <w:p w:rsidR="00C90E1E" w:rsidRPr="00880F05" w:rsidRDefault="00C90E1E" w:rsidP="00C90E1E">
      <w:pPr>
        <w:ind w:left="540" w:right="639"/>
        <w:jc w:val="both"/>
        <w:rPr>
          <w:sz w:val="22"/>
          <w:szCs w:val="22"/>
          <w:lang w:val="en-US"/>
        </w:rPr>
      </w:pPr>
    </w:p>
    <w:p w:rsidR="00352B26" w:rsidRPr="00880F05" w:rsidRDefault="001F1F6B" w:rsidP="00E30626">
      <w:pPr>
        <w:ind w:left="567" w:right="567"/>
        <w:jc w:val="both"/>
        <w:rPr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Key</w:t>
      </w:r>
      <w:r w:rsidR="00FE0F55" w:rsidRPr="00FE0F55">
        <w:rPr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b/>
          <w:bCs/>
          <w:i/>
          <w:iCs/>
          <w:sz w:val="22"/>
          <w:szCs w:val="22"/>
          <w:lang w:val="en-US"/>
        </w:rPr>
        <w:t>words</w:t>
      </w:r>
      <w:r w:rsidR="00352B26" w:rsidRPr="00880F05">
        <w:rPr>
          <w:b/>
          <w:bCs/>
          <w:i/>
          <w:iCs/>
          <w:sz w:val="22"/>
          <w:szCs w:val="22"/>
          <w:lang w:val="en-US"/>
        </w:rPr>
        <w:t xml:space="preserve">: </w:t>
      </w:r>
      <w:r>
        <w:rPr>
          <w:i/>
          <w:iCs/>
          <w:sz w:val="22"/>
          <w:szCs w:val="22"/>
          <w:lang w:val="en-US"/>
        </w:rPr>
        <w:t>first</w:t>
      </w:r>
      <w:r w:rsidR="00352B26" w:rsidRPr="00880F05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second</w:t>
      </w:r>
      <w:r w:rsidR="00352B26" w:rsidRPr="00880F05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etc</w:t>
      </w:r>
      <w:r w:rsidR="00352B26" w:rsidRPr="00880F05">
        <w:rPr>
          <w:i/>
          <w:iCs/>
          <w:sz w:val="22"/>
          <w:szCs w:val="22"/>
          <w:lang w:val="en-US"/>
        </w:rPr>
        <w:t xml:space="preserve">. </w:t>
      </w:r>
      <w:r>
        <w:rPr>
          <w:i/>
          <w:iCs/>
          <w:sz w:val="22"/>
          <w:szCs w:val="22"/>
          <w:lang w:val="en-US"/>
        </w:rPr>
        <w:t>Organized in a paragraph with full justification and 1 cm right and left margins</w:t>
      </w:r>
      <w:r w:rsidR="00352B26" w:rsidRPr="00880F05">
        <w:rPr>
          <w:i/>
          <w:iCs/>
          <w:sz w:val="22"/>
          <w:szCs w:val="22"/>
          <w:lang w:val="en-US"/>
        </w:rPr>
        <w:t>.</w:t>
      </w:r>
    </w:p>
    <w:p w:rsidR="00C90E1E" w:rsidRPr="00880F05" w:rsidRDefault="00C90E1E" w:rsidP="00C90E1E">
      <w:pPr>
        <w:ind w:left="540" w:right="639"/>
        <w:jc w:val="both"/>
        <w:rPr>
          <w:i/>
          <w:iCs/>
          <w:sz w:val="22"/>
          <w:szCs w:val="22"/>
          <w:lang w:val="en-US"/>
        </w:rPr>
      </w:pPr>
    </w:p>
    <w:p w:rsidR="009F3489" w:rsidRPr="001F1F6B" w:rsidRDefault="001F1F6B" w:rsidP="00EC0399">
      <w:pPr>
        <w:pStyle w:val="1"/>
        <w:spacing w:before="240" w:after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:rsidR="00714EA3" w:rsidRPr="00880F05" w:rsidRDefault="001F1F6B" w:rsidP="00880F05">
      <w:pPr>
        <w:ind w:firstLine="357"/>
        <w:jc w:val="both"/>
        <w:rPr>
          <w:lang w:val="en-US"/>
        </w:rPr>
      </w:pPr>
      <w:r>
        <w:rPr>
          <w:lang w:val="en-US"/>
        </w:rPr>
        <w:t>All pages should have the following margins</w:t>
      </w:r>
      <w:r w:rsidR="00714EA3" w:rsidRPr="00880F05">
        <w:rPr>
          <w:lang w:val="en-US"/>
        </w:rPr>
        <w:t xml:space="preserve">: </w:t>
      </w:r>
      <w:r>
        <w:rPr>
          <w:lang w:val="en-US"/>
        </w:rPr>
        <w:t>left</w:t>
      </w:r>
      <w:r w:rsidR="00714EA3" w:rsidRPr="00880F05">
        <w:rPr>
          <w:lang w:val="en-US"/>
        </w:rPr>
        <w:t xml:space="preserve"> – 2.5, </w:t>
      </w:r>
      <w:r>
        <w:rPr>
          <w:lang w:val="en-US"/>
        </w:rPr>
        <w:t>right</w:t>
      </w:r>
      <w:r w:rsidR="00714EA3" w:rsidRPr="00880F05">
        <w:rPr>
          <w:lang w:val="en-US"/>
        </w:rPr>
        <w:t xml:space="preserve"> – 2.5, </w:t>
      </w:r>
      <w:r>
        <w:rPr>
          <w:lang w:val="en-US"/>
        </w:rPr>
        <w:t>top</w:t>
      </w:r>
      <w:r w:rsidR="00714EA3" w:rsidRPr="00880F05">
        <w:rPr>
          <w:lang w:val="en-US"/>
        </w:rPr>
        <w:t xml:space="preserve"> – 1.7, </w:t>
      </w:r>
      <w:r>
        <w:rPr>
          <w:lang w:val="en-US"/>
        </w:rPr>
        <w:t>and bottom</w:t>
      </w:r>
      <w:r w:rsidR="00714EA3" w:rsidRPr="00880F05">
        <w:rPr>
          <w:lang w:val="en-US"/>
        </w:rPr>
        <w:t xml:space="preserve">– 2 </w:t>
      </w:r>
      <w:r w:rsidR="00CC198C">
        <w:rPr>
          <w:lang w:val="en-US"/>
        </w:rPr>
        <w:t>cm</w:t>
      </w:r>
      <w:r w:rsidR="00714EA3" w:rsidRPr="00880F05">
        <w:rPr>
          <w:lang w:val="en-US"/>
        </w:rPr>
        <w:t>.</w:t>
      </w:r>
    </w:p>
    <w:p w:rsidR="00AB2C0B" w:rsidRPr="00880F05" w:rsidRDefault="00CC198C" w:rsidP="00880F05">
      <w:pPr>
        <w:autoSpaceDE w:val="0"/>
        <w:autoSpaceDN w:val="0"/>
        <w:adjustRightInd w:val="0"/>
        <w:ind w:firstLine="357"/>
        <w:jc w:val="both"/>
        <w:rPr>
          <w:lang w:val="en-US"/>
        </w:rPr>
      </w:pPr>
      <w:r>
        <w:rPr>
          <w:lang w:val="en-US"/>
        </w:rPr>
        <w:t>The Introduction is followed by the text including</w:t>
      </w:r>
      <w:r w:rsidR="00880F05">
        <w:rPr>
          <w:lang w:val="en-US"/>
        </w:rPr>
        <w:t xml:space="preserve"> some examples of </w:t>
      </w:r>
      <w:r w:rsidR="00326C8A">
        <w:rPr>
          <w:lang w:val="en-US"/>
        </w:rPr>
        <w:t xml:space="preserve">text </w:t>
      </w:r>
      <w:r w:rsidR="00880F05">
        <w:rPr>
          <w:lang w:val="en-US"/>
        </w:rPr>
        <w:t>formatting</w:t>
      </w:r>
      <w:r w:rsidR="00326C8A">
        <w:rPr>
          <w:lang w:val="en-US"/>
        </w:rPr>
        <w:t xml:space="preserve">, including </w:t>
      </w:r>
      <w:r>
        <w:rPr>
          <w:lang w:val="en-US"/>
        </w:rPr>
        <w:t>references</w:t>
      </w:r>
      <w:r w:rsidR="00880F05">
        <w:rPr>
          <w:lang w:val="en-US"/>
        </w:rPr>
        <w:t xml:space="preserve"> </w:t>
      </w:r>
      <w:r w:rsidR="00880F05" w:rsidRPr="00880F05">
        <w:rPr>
          <w:lang w:val="en-US"/>
        </w:rPr>
        <w:t>[1</w:t>
      </w:r>
      <w:r w:rsidR="00880F05">
        <w:rPr>
          <w:lang w:val="en-US"/>
        </w:rPr>
        <w:sym w:font="Symbol" w:char="F02D"/>
      </w:r>
      <w:proofErr w:type="gramStart"/>
      <w:r w:rsidR="00880F05" w:rsidRPr="00880F05">
        <w:rPr>
          <w:lang w:val="en-US"/>
        </w:rPr>
        <w:t>5</w:t>
      </w:r>
      <w:proofErr w:type="gramEnd"/>
      <w:r w:rsidR="00880F05" w:rsidRPr="00880F05">
        <w:rPr>
          <w:lang w:val="en-US"/>
        </w:rPr>
        <w:t>]</w:t>
      </w:r>
      <w:r w:rsidR="00AB2C0B" w:rsidRPr="00880F05">
        <w:rPr>
          <w:lang w:val="en-US"/>
        </w:rPr>
        <w:t>,</w:t>
      </w:r>
      <w:r w:rsidR="009F3489" w:rsidRPr="00880F05">
        <w:rPr>
          <w:lang w:val="en-US"/>
        </w:rPr>
        <w:t xml:space="preserve"> </w:t>
      </w:r>
      <w:r>
        <w:rPr>
          <w:lang w:val="en-US"/>
        </w:rPr>
        <w:t>equation</w:t>
      </w:r>
      <w:r w:rsidR="009F3489" w:rsidRPr="00880F05">
        <w:rPr>
          <w:lang w:val="en-US"/>
        </w:rPr>
        <w:t xml:space="preserve"> (1),</w:t>
      </w:r>
      <w:r w:rsidR="00AB2C0B" w:rsidRPr="00880F05">
        <w:rPr>
          <w:lang w:val="en-US"/>
        </w:rPr>
        <w:t xml:space="preserve"> </w:t>
      </w:r>
      <w:r w:rsidR="00326C8A">
        <w:rPr>
          <w:lang w:val="en-US"/>
        </w:rPr>
        <w:t>t</w:t>
      </w:r>
      <w:r>
        <w:rPr>
          <w:lang w:val="en-US"/>
        </w:rPr>
        <w:t>able</w:t>
      </w:r>
      <w:r w:rsidR="00AB2C0B" w:rsidRPr="00880F05">
        <w:rPr>
          <w:lang w:val="en-US"/>
        </w:rPr>
        <w:t xml:space="preserve"> (</w:t>
      </w:r>
      <w:r>
        <w:rPr>
          <w:lang w:val="en-US"/>
        </w:rPr>
        <w:t>Table</w:t>
      </w:r>
      <w:r w:rsidR="00AB2C0B" w:rsidRPr="00880F05">
        <w:rPr>
          <w:lang w:val="en-US"/>
        </w:rPr>
        <w:t xml:space="preserve"> 1)</w:t>
      </w:r>
      <w:r w:rsidR="00722817" w:rsidRPr="00880F05">
        <w:rPr>
          <w:lang w:val="en-US"/>
        </w:rPr>
        <w:t>,</w:t>
      </w:r>
      <w:r w:rsidR="00AB2C0B" w:rsidRPr="00880F05">
        <w:rPr>
          <w:lang w:val="en-US"/>
        </w:rPr>
        <w:t xml:space="preserve"> </w:t>
      </w:r>
      <w:r w:rsidR="00326C8A">
        <w:rPr>
          <w:lang w:val="en-US"/>
        </w:rPr>
        <w:t>f</w:t>
      </w:r>
      <w:r>
        <w:rPr>
          <w:lang w:val="en-US"/>
        </w:rPr>
        <w:t>igure</w:t>
      </w:r>
      <w:r w:rsidR="00AB2C0B" w:rsidRPr="00880F05">
        <w:rPr>
          <w:lang w:val="en-US"/>
        </w:rPr>
        <w:t xml:space="preserve"> (</w:t>
      </w:r>
      <w:r>
        <w:rPr>
          <w:lang w:val="en-US"/>
        </w:rPr>
        <w:t>Fig</w:t>
      </w:r>
      <w:r w:rsidR="009F3489" w:rsidRPr="00880F05">
        <w:rPr>
          <w:lang w:val="en-US"/>
        </w:rPr>
        <w:t>.</w:t>
      </w:r>
      <w:r w:rsidR="00AB2C0B" w:rsidRPr="00880F05">
        <w:rPr>
          <w:lang w:val="en-US"/>
        </w:rPr>
        <w:t xml:space="preserve"> 1)</w:t>
      </w:r>
      <w:r w:rsidR="00722817" w:rsidRPr="00880F05">
        <w:rPr>
          <w:lang w:val="en-US"/>
        </w:rPr>
        <w:t xml:space="preserve"> </w:t>
      </w:r>
      <w:r>
        <w:rPr>
          <w:lang w:val="en-US"/>
        </w:rPr>
        <w:t>and</w:t>
      </w:r>
      <w:r w:rsidR="00722817" w:rsidRPr="00880F05">
        <w:rPr>
          <w:lang w:val="en-US"/>
        </w:rPr>
        <w:t xml:space="preserve"> </w:t>
      </w:r>
      <w:r w:rsidR="00326C8A">
        <w:rPr>
          <w:lang w:val="en-US"/>
        </w:rPr>
        <w:t>r</w:t>
      </w:r>
      <w:r>
        <w:rPr>
          <w:lang w:val="en-US"/>
        </w:rPr>
        <w:t>eference</w:t>
      </w:r>
      <w:r w:rsidR="00635B92">
        <w:rPr>
          <w:lang w:val="en-US"/>
        </w:rPr>
        <w:t xml:space="preserve"> li</w:t>
      </w:r>
      <w:r>
        <w:rPr>
          <w:lang w:val="en-US"/>
        </w:rPr>
        <w:t>s</w:t>
      </w:r>
      <w:r w:rsidR="00635B92">
        <w:rPr>
          <w:lang w:val="en-US"/>
        </w:rPr>
        <w:t>t</w:t>
      </w:r>
      <w:r w:rsidR="00AB2C0B" w:rsidRPr="00880F05">
        <w:rPr>
          <w:lang w:val="en-US"/>
        </w:rPr>
        <w:t xml:space="preserve">. </w:t>
      </w:r>
      <w:r w:rsidR="000362EF">
        <w:rPr>
          <w:lang w:val="en-US"/>
        </w:rPr>
        <w:t>We gave t</w:t>
      </w:r>
      <w:r>
        <w:rPr>
          <w:lang w:val="en-US"/>
        </w:rPr>
        <w:t xml:space="preserve">he examples of </w:t>
      </w:r>
      <w:r w:rsidR="00880F05">
        <w:rPr>
          <w:lang w:val="en-US"/>
        </w:rPr>
        <w:t>t</w:t>
      </w:r>
      <w:r>
        <w:rPr>
          <w:lang w:val="en-US"/>
        </w:rPr>
        <w:t xml:space="preserve">ables and </w:t>
      </w:r>
      <w:r w:rsidR="00880F05">
        <w:rPr>
          <w:lang w:val="en-US"/>
        </w:rPr>
        <w:t>f</w:t>
      </w:r>
      <w:r>
        <w:rPr>
          <w:lang w:val="en-US"/>
        </w:rPr>
        <w:t>igures</w:t>
      </w:r>
      <w:r w:rsidR="00880F05" w:rsidRPr="00880F05">
        <w:rPr>
          <w:lang w:val="en-US"/>
        </w:rPr>
        <w:t xml:space="preserve"> </w:t>
      </w:r>
      <w:r w:rsidR="00880F05">
        <w:rPr>
          <w:lang w:val="en-US"/>
        </w:rPr>
        <w:t>design</w:t>
      </w:r>
      <w:r>
        <w:rPr>
          <w:lang w:val="en-US"/>
        </w:rPr>
        <w:t xml:space="preserve"> </w:t>
      </w:r>
      <w:r w:rsidR="00880F05">
        <w:rPr>
          <w:lang w:val="en-US"/>
        </w:rPr>
        <w:t>in</w:t>
      </w:r>
      <w:r>
        <w:rPr>
          <w:lang w:val="en-US"/>
        </w:rPr>
        <w:t xml:space="preserve"> Table</w:t>
      </w:r>
      <w:r w:rsidR="0024147C" w:rsidRPr="00880F05">
        <w:rPr>
          <w:lang w:val="en-US"/>
        </w:rPr>
        <w:t xml:space="preserve"> 1 </w:t>
      </w:r>
      <w:r>
        <w:rPr>
          <w:lang w:val="en-US"/>
        </w:rPr>
        <w:t>and Figure</w:t>
      </w:r>
      <w:r w:rsidR="0024147C" w:rsidRPr="00880F05">
        <w:rPr>
          <w:lang w:val="en-US"/>
        </w:rPr>
        <w:t xml:space="preserve"> 1. </w:t>
      </w:r>
      <w:r w:rsidR="00F3594C">
        <w:rPr>
          <w:lang w:val="en-US"/>
        </w:rPr>
        <w:t>Abbreviations of word combinations</w:t>
      </w:r>
      <w:r w:rsidR="00AB2C0B" w:rsidRPr="00880F05">
        <w:rPr>
          <w:lang w:val="en-US"/>
        </w:rPr>
        <w:t xml:space="preserve"> (</w:t>
      </w:r>
      <w:r w:rsidR="00F3594C">
        <w:rPr>
          <w:lang w:val="en-US"/>
        </w:rPr>
        <w:t>WC</w:t>
      </w:r>
      <w:r w:rsidR="00AB2C0B" w:rsidRPr="00880F05">
        <w:rPr>
          <w:lang w:val="en-US"/>
        </w:rPr>
        <w:t>)</w:t>
      </w:r>
      <w:r w:rsidR="00F3594C">
        <w:rPr>
          <w:lang w:val="en-US"/>
        </w:rPr>
        <w:t>,</w:t>
      </w:r>
      <w:r w:rsidR="00AB2C0B" w:rsidRPr="00880F05">
        <w:rPr>
          <w:lang w:val="en-US"/>
        </w:rPr>
        <w:t xml:space="preserve"> </w:t>
      </w:r>
      <w:r w:rsidR="00F3594C">
        <w:rPr>
          <w:lang w:val="en-US"/>
        </w:rPr>
        <w:t xml:space="preserve">in capital letters, </w:t>
      </w:r>
      <w:proofErr w:type="gramStart"/>
      <w:r w:rsidR="00F3594C">
        <w:rPr>
          <w:lang w:val="en-US"/>
        </w:rPr>
        <w:t>must be given</w:t>
      </w:r>
      <w:proofErr w:type="gramEnd"/>
      <w:r w:rsidR="00F3594C">
        <w:rPr>
          <w:lang w:val="en-US"/>
        </w:rPr>
        <w:t xml:space="preserve"> </w:t>
      </w:r>
      <w:r w:rsidR="00F3594C" w:rsidRPr="00880F05">
        <w:rPr>
          <w:rFonts w:ascii="LiberationSerif" w:eastAsia="LiberationSerif" w:cs="LiberationSerif"/>
          <w:color w:val="030303"/>
          <w:lang w:val="en-US"/>
        </w:rPr>
        <w:t>in parentheses</w:t>
      </w:r>
      <w:r w:rsidR="00F3594C">
        <w:rPr>
          <w:rFonts w:asciiTheme="minorHAnsi" w:eastAsia="LiberationSerif" w:hAnsiTheme="minorHAnsi" w:cs="LiberationSerif"/>
          <w:color w:val="030303"/>
          <w:lang w:val="en-US"/>
        </w:rPr>
        <w:t xml:space="preserve"> </w:t>
      </w:r>
      <w:r w:rsidR="00F3594C" w:rsidRPr="00880F05">
        <w:rPr>
          <w:rFonts w:ascii="LiberationSerif" w:eastAsia="LiberationSerif" w:cs="LiberationSerif"/>
          <w:color w:val="030303"/>
          <w:lang w:val="en-US"/>
        </w:rPr>
        <w:t>after their first mention</w:t>
      </w:r>
      <w:r w:rsidR="00F84742" w:rsidRPr="00880F05">
        <w:rPr>
          <w:rFonts w:ascii="LiberationSerif" w:eastAsia="LiberationSerif" w:cs="LiberationSerif"/>
          <w:color w:val="030303"/>
          <w:lang w:val="en-US"/>
        </w:rPr>
        <w:t>ing</w:t>
      </w:r>
      <w:r w:rsidR="00F3594C" w:rsidRPr="00880F05">
        <w:rPr>
          <w:rFonts w:ascii="LiberationSerif" w:eastAsia="LiberationSerif" w:cs="LiberationSerif"/>
          <w:color w:val="030303"/>
          <w:lang w:val="en-US"/>
        </w:rPr>
        <w:t xml:space="preserve"> in the text</w:t>
      </w:r>
      <w:r w:rsidR="00AB2C0B" w:rsidRPr="00880F05">
        <w:rPr>
          <w:lang w:val="en-US"/>
        </w:rPr>
        <w:t xml:space="preserve">. </w:t>
      </w:r>
    </w:p>
    <w:p w:rsidR="004C145A" w:rsidRPr="00880F05" w:rsidRDefault="00224D75" w:rsidP="00880F05">
      <w:pPr>
        <w:ind w:firstLine="357"/>
        <w:jc w:val="both"/>
        <w:rPr>
          <w:lang w:val="en-US"/>
        </w:rPr>
      </w:pPr>
      <w:r>
        <w:rPr>
          <w:lang w:val="en-US"/>
        </w:rPr>
        <w:t xml:space="preserve">Magnitudes </w:t>
      </w:r>
      <w:r w:rsidR="00F84742">
        <w:rPr>
          <w:lang w:val="en-US"/>
        </w:rPr>
        <w:t xml:space="preserve">that are followed with </w:t>
      </w:r>
      <w:r>
        <w:rPr>
          <w:lang w:val="en-US"/>
        </w:rPr>
        <w:t xml:space="preserve">measurement units and counts </w:t>
      </w:r>
      <w:r w:rsidR="002D518A">
        <w:rPr>
          <w:lang w:val="en-US"/>
        </w:rPr>
        <w:t>should be written in figures</w:t>
      </w:r>
      <w:r w:rsidR="004C145A" w:rsidRPr="00880F05">
        <w:rPr>
          <w:lang w:val="en-US"/>
        </w:rPr>
        <w:t xml:space="preserve">, </w:t>
      </w:r>
      <w:r w:rsidR="002D518A">
        <w:rPr>
          <w:lang w:val="en-US"/>
        </w:rPr>
        <w:t xml:space="preserve">while the numbers from one to nine not followed by the designations of without measurement units and counts </w:t>
      </w:r>
      <w:r w:rsidR="004C145A" w:rsidRPr="00880F05">
        <w:rPr>
          <w:lang w:val="en-US"/>
        </w:rPr>
        <w:t xml:space="preserve">– </w:t>
      </w:r>
      <w:r w:rsidR="002D518A">
        <w:rPr>
          <w:lang w:val="en-US"/>
        </w:rPr>
        <w:t>in words</w:t>
      </w:r>
      <w:r w:rsidR="004C145A" w:rsidRPr="00880F05">
        <w:rPr>
          <w:lang w:val="en-US"/>
        </w:rPr>
        <w:t>.</w:t>
      </w:r>
    </w:p>
    <w:p w:rsidR="00722817" w:rsidRPr="00D550B8" w:rsidRDefault="00D550B8" w:rsidP="00EC0399">
      <w:pPr>
        <w:pStyle w:val="1"/>
        <w:spacing w:before="240" w:after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TEXT DESIGN</w:t>
      </w:r>
    </w:p>
    <w:p w:rsidR="00AB2C0B" w:rsidRPr="00880F05" w:rsidRDefault="00D550B8" w:rsidP="0072281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arrangement of formulas </w:t>
      </w:r>
    </w:p>
    <w:p w:rsidR="00AB2C0B" w:rsidRPr="00880F05" w:rsidRDefault="00FE1C70" w:rsidP="00301979">
      <w:pPr>
        <w:ind w:firstLine="357"/>
        <w:jc w:val="both"/>
        <w:rPr>
          <w:lang w:val="en-US"/>
        </w:rPr>
      </w:pPr>
      <w:r w:rsidRPr="00FE1C70">
        <w:rPr>
          <w:lang w:val="en-US"/>
        </w:rPr>
        <w:t xml:space="preserve">We do not consider the manuscripts that use the </w:t>
      </w:r>
      <w:r>
        <w:rPr>
          <w:lang w:val="en-US"/>
        </w:rPr>
        <w:t xml:space="preserve">Office </w:t>
      </w:r>
      <w:r w:rsidRPr="00FE1C70">
        <w:rPr>
          <w:lang w:val="en-US"/>
        </w:rPr>
        <w:t>built-in formula editor</w:t>
      </w:r>
      <w:r>
        <w:rPr>
          <w:lang w:val="en-US"/>
        </w:rPr>
        <w:t xml:space="preserve"> (Microsoft Editor)</w:t>
      </w:r>
      <w:r w:rsidRPr="00FE1C70">
        <w:rPr>
          <w:lang w:val="en-US"/>
        </w:rPr>
        <w:t>.</w:t>
      </w:r>
      <w:r>
        <w:rPr>
          <w:lang w:val="en-US"/>
        </w:rPr>
        <w:t xml:space="preserve"> </w:t>
      </w:r>
      <w:r w:rsidR="00FB30C8" w:rsidRPr="00FB30C8">
        <w:rPr>
          <w:lang w:val="en-US"/>
        </w:rPr>
        <w:t xml:space="preserve">It does not provide </w:t>
      </w:r>
      <w:r w:rsidR="00326C8A">
        <w:rPr>
          <w:lang w:val="en-US"/>
        </w:rPr>
        <w:t xml:space="preserve">a </w:t>
      </w:r>
      <w:r w:rsidR="00FB30C8" w:rsidRPr="00FB30C8">
        <w:rPr>
          <w:lang w:val="en-US"/>
        </w:rPr>
        <w:t xml:space="preserve">functionality </w:t>
      </w:r>
      <w:r w:rsidR="00326C8A">
        <w:rPr>
          <w:lang w:val="en-US"/>
        </w:rPr>
        <w:t xml:space="preserve">that </w:t>
      </w:r>
      <w:proofErr w:type="gramStart"/>
      <w:r w:rsidR="00326C8A">
        <w:rPr>
          <w:lang w:val="en-US"/>
        </w:rPr>
        <w:t xml:space="preserve">is </w:t>
      </w:r>
      <w:r w:rsidR="00FB30C8" w:rsidRPr="00FB30C8">
        <w:rPr>
          <w:lang w:val="en-US"/>
        </w:rPr>
        <w:t>needed</w:t>
      </w:r>
      <w:proofErr w:type="gramEnd"/>
      <w:r w:rsidR="00FB30C8" w:rsidRPr="00FB30C8">
        <w:rPr>
          <w:lang w:val="en-US"/>
        </w:rPr>
        <w:t xml:space="preserve"> for </w:t>
      </w:r>
      <w:r w:rsidR="00326C8A">
        <w:rPr>
          <w:lang w:val="en-US"/>
        </w:rPr>
        <w:t>writing</w:t>
      </w:r>
      <w:r w:rsidR="00FB30C8" w:rsidRPr="00FB30C8">
        <w:rPr>
          <w:lang w:val="en-US"/>
        </w:rPr>
        <w:t xml:space="preserve"> professional mathematical texts.</w:t>
      </w:r>
      <w:r w:rsidRPr="00FE1C70">
        <w:rPr>
          <w:lang w:val="en-US"/>
        </w:rPr>
        <w:t xml:space="preserve"> Use the </w:t>
      </w:r>
      <w:proofErr w:type="spellStart"/>
      <w:r w:rsidRPr="00FE1C70">
        <w:rPr>
          <w:lang w:val="en-US"/>
        </w:rPr>
        <w:t>MathType</w:t>
      </w:r>
      <w:proofErr w:type="spellEnd"/>
      <w:r w:rsidRPr="00FE1C70">
        <w:rPr>
          <w:lang w:val="en-US"/>
        </w:rPr>
        <w:t xml:space="preserve"> </w:t>
      </w:r>
      <w:r w:rsidRPr="00880F05">
        <w:rPr>
          <w:lang w:val="en-US"/>
        </w:rPr>
        <w:t>Equation</w:t>
      </w:r>
      <w:r w:rsidRPr="00FE1C70">
        <w:rPr>
          <w:lang w:val="en-US"/>
        </w:rPr>
        <w:t xml:space="preserve"> to write formulas properly.</w:t>
      </w:r>
      <w:r>
        <w:rPr>
          <w:lang w:val="en-US"/>
        </w:rPr>
        <w:t xml:space="preserve"> One should type l</w:t>
      </w:r>
      <w:r w:rsidR="007550D3">
        <w:rPr>
          <w:lang w:val="en-US"/>
        </w:rPr>
        <w:t>ong or numbered formulas in a separate line</w:t>
      </w:r>
      <w:r w:rsidR="00AB2C0B" w:rsidRPr="00880F05">
        <w:rPr>
          <w:lang w:val="en-US"/>
        </w:rPr>
        <w:t xml:space="preserve">, </w:t>
      </w:r>
      <w:r w:rsidR="007550D3">
        <w:rPr>
          <w:lang w:val="en-US"/>
        </w:rPr>
        <w:t>as for instance</w:t>
      </w:r>
      <w:r w:rsidR="007D6943">
        <w:rPr>
          <w:lang w:val="en-US"/>
        </w:rPr>
        <w:t>,</w:t>
      </w:r>
    </w:p>
    <w:p w:rsidR="00AB2C0B" w:rsidRPr="007550D3" w:rsidRDefault="00F45D3F" w:rsidP="002F0CCB">
      <w:pPr>
        <w:spacing w:before="120" w:after="120"/>
        <w:jc w:val="right"/>
        <w:rPr>
          <w:lang w:val="en-US"/>
        </w:rPr>
      </w:pPr>
      <w:r w:rsidRPr="008A33F7">
        <w:rPr>
          <w:position w:val="-24"/>
        </w:rPr>
        <w:object w:dxaOrig="2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05pt;height:31.3pt" o:ole="">
            <v:imagedata r:id="rId7" o:title=""/>
          </v:shape>
          <o:OLEObject Type="Embed" ProgID="Equation.DSMT4" ShapeID="_x0000_i1025" DrawAspect="Content" ObjectID="_1745703219" r:id="rId8"/>
        </w:object>
      </w:r>
      <w:r w:rsidR="007D6943">
        <w:rPr>
          <w:lang w:val="en-US"/>
        </w:rPr>
        <w:t>.</w:t>
      </w:r>
      <w:r w:rsidR="00AB2C0B" w:rsidRPr="00880F05">
        <w:rPr>
          <w:lang w:val="en-US"/>
        </w:rPr>
        <w:t xml:space="preserve">                                                              (1)</w:t>
      </w:r>
    </w:p>
    <w:p w:rsidR="00AB2C0B" w:rsidRPr="00880F05" w:rsidRDefault="007D6943" w:rsidP="00E30626">
      <w:pPr>
        <w:jc w:val="both"/>
        <w:rPr>
          <w:lang w:val="en-US"/>
        </w:rPr>
      </w:pPr>
      <w:r>
        <w:rPr>
          <w:lang w:val="en-US"/>
        </w:rPr>
        <w:t>S</w:t>
      </w:r>
      <w:r w:rsidR="00635B92">
        <w:rPr>
          <w:lang w:val="en-US"/>
        </w:rPr>
        <w:t>hort mathematical expressions</w:t>
      </w:r>
      <w:r w:rsidR="00FE1C70">
        <w:rPr>
          <w:lang w:val="en-US"/>
        </w:rPr>
        <w:t>, for example</w:t>
      </w:r>
      <w:r w:rsidR="00635B92">
        <w:rPr>
          <w:lang w:val="en-US"/>
        </w:rPr>
        <w:t xml:space="preserve"> </w:t>
      </w:r>
      <w:r w:rsidR="00AB2C0B" w:rsidRPr="00880F05">
        <w:rPr>
          <w:lang w:val="en-US"/>
        </w:rPr>
        <w:t>0</w:t>
      </w:r>
      <w:r w:rsidR="00394168" w:rsidRPr="00880F05">
        <w:rPr>
          <w:lang w:val="en-US"/>
        </w:rPr>
        <w:t>.</w:t>
      </w:r>
      <w:r w:rsidR="00AB2C0B" w:rsidRPr="00880F05">
        <w:rPr>
          <w:lang w:val="en-US"/>
        </w:rPr>
        <w:t>5</w:t>
      </w:r>
      <w:r w:rsidR="00BD0A83" w:rsidRPr="00880F05">
        <w:rPr>
          <w:lang w:val="en-US"/>
        </w:rPr>
        <w:t>cos</w:t>
      </w:r>
      <w:r w:rsidR="004C145A" w:rsidRPr="00880F05">
        <w:rPr>
          <w:lang w:val="en-US"/>
        </w:rPr>
        <w:t> </w:t>
      </w:r>
      <w:r w:rsidR="00BD0A83">
        <w:sym w:font="Symbol" w:char="F064"/>
      </w:r>
      <w:r w:rsidR="00BD0A83" w:rsidRPr="00880F05">
        <w:rPr>
          <w:lang w:val="en-US"/>
        </w:rPr>
        <w:t>·</w:t>
      </w:r>
      <w:r w:rsidR="00AB2C0B" w:rsidRPr="007948DE">
        <w:rPr>
          <w:i/>
          <w:iCs/>
          <w:lang w:val="en-US"/>
        </w:rPr>
        <w:t>F</w:t>
      </w:r>
      <w:r w:rsidR="00AB2C0B" w:rsidRPr="00880F05">
        <w:rPr>
          <w:lang w:val="en-US"/>
        </w:rPr>
        <w:t>(</w:t>
      </w:r>
      <w:r w:rsidR="00AB2C0B">
        <w:rPr>
          <w:i/>
          <w:iCs/>
          <w:lang w:val="en-US"/>
        </w:rPr>
        <w:t>y</w:t>
      </w:r>
      <w:r w:rsidR="00AB2C0B" w:rsidRPr="00880F05">
        <w:rPr>
          <w:lang w:val="en-US"/>
        </w:rPr>
        <w:t xml:space="preserve">, </w:t>
      </w:r>
      <w:r w:rsidR="00AB2C0B">
        <w:rPr>
          <w:i/>
          <w:iCs/>
          <w:lang w:val="en-US"/>
        </w:rPr>
        <w:t>x</w:t>
      </w:r>
      <w:r w:rsidR="00AB2C0B" w:rsidRPr="00880F05">
        <w:rPr>
          <w:lang w:val="en-US"/>
        </w:rPr>
        <w:t>)</w:t>
      </w:r>
      <w:r w:rsidR="00FE1C70">
        <w:rPr>
          <w:lang w:val="en-US"/>
        </w:rPr>
        <w:t>,</w:t>
      </w:r>
      <w:r w:rsidR="00AB2C0B" w:rsidRPr="00880F05">
        <w:rPr>
          <w:lang w:val="en-US"/>
        </w:rPr>
        <w:t xml:space="preserve"> </w:t>
      </w:r>
      <w:r w:rsidR="00FE1C70">
        <w:rPr>
          <w:lang w:val="en-US"/>
        </w:rPr>
        <w:t xml:space="preserve">may be typed by </w:t>
      </w:r>
      <w:r w:rsidR="00FB30C8">
        <w:rPr>
          <w:lang w:val="en-US"/>
        </w:rPr>
        <w:t xml:space="preserve">the use of math </w:t>
      </w:r>
      <w:r w:rsidR="00FE1C70">
        <w:rPr>
          <w:lang w:val="en-US"/>
        </w:rPr>
        <w:t xml:space="preserve">symbols </w:t>
      </w:r>
      <w:r w:rsidR="00FB30C8">
        <w:rPr>
          <w:lang w:val="en-US"/>
        </w:rPr>
        <w:t xml:space="preserve">available in the Symbols group in Word. Pay attention to </w:t>
      </w:r>
      <w:r w:rsidR="00E8278F">
        <w:rPr>
          <w:lang w:val="en-US"/>
        </w:rPr>
        <w:t xml:space="preserve">variables </w:t>
      </w:r>
      <w:r>
        <w:rPr>
          <w:lang w:val="en-US"/>
        </w:rPr>
        <w:t>(</w:t>
      </w:r>
      <w:r w:rsidR="00AB2C0B" w:rsidRPr="007948DE">
        <w:rPr>
          <w:i/>
          <w:iCs/>
          <w:lang w:val="en-US"/>
        </w:rPr>
        <w:t>x</w:t>
      </w:r>
      <w:r w:rsidR="00AB2C0B" w:rsidRPr="00880F05">
        <w:rPr>
          <w:lang w:val="en-US"/>
        </w:rPr>
        <w:t xml:space="preserve"> </w:t>
      </w:r>
      <w:r w:rsidR="00E8278F">
        <w:rPr>
          <w:lang w:val="en-US"/>
        </w:rPr>
        <w:t>and</w:t>
      </w:r>
      <w:r w:rsidR="00AB2C0B" w:rsidRPr="00880F05">
        <w:rPr>
          <w:lang w:val="en-US"/>
        </w:rPr>
        <w:t xml:space="preserve"> </w:t>
      </w:r>
      <w:r w:rsidR="00AB2C0B" w:rsidRPr="007948DE">
        <w:rPr>
          <w:i/>
          <w:iCs/>
          <w:lang w:val="en-US"/>
        </w:rPr>
        <w:t>y</w:t>
      </w:r>
      <w:r w:rsidRPr="007D6943">
        <w:rPr>
          <w:iCs/>
          <w:lang w:val="en-US"/>
        </w:rPr>
        <w:t>)</w:t>
      </w:r>
      <w:r w:rsidR="00AB2C0B" w:rsidRPr="00880F05">
        <w:rPr>
          <w:lang w:val="en-US"/>
        </w:rPr>
        <w:t xml:space="preserve"> </w:t>
      </w:r>
      <w:r w:rsidR="00E8278F">
        <w:rPr>
          <w:lang w:val="en-US"/>
        </w:rPr>
        <w:t>used in body text</w:t>
      </w:r>
      <w:r w:rsidR="00FB30C8">
        <w:rPr>
          <w:lang w:val="en-US"/>
        </w:rPr>
        <w:t>,</w:t>
      </w:r>
      <w:r w:rsidR="00E8278F">
        <w:rPr>
          <w:lang w:val="en-US"/>
        </w:rPr>
        <w:t xml:space="preserve"> </w:t>
      </w:r>
      <w:r w:rsidR="00FB30C8">
        <w:rPr>
          <w:lang w:val="en-US"/>
        </w:rPr>
        <w:t xml:space="preserve">that </w:t>
      </w:r>
      <w:r w:rsidR="00E8278F">
        <w:rPr>
          <w:lang w:val="en-US"/>
        </w:rPr>
        <w:t>should be</w:t>
      </w:r>
      <w:r w:rsidR="00AB2C0B" w:rsidRPr="00880F05">
        <w:rPr>
          <w:lang w:val="en-US"/>
        </w:rPr>
        <w:t xml:space="preserve"> </w:t>
      </w:r>
      <w:r w:rsidR="00E8278F">
        <w:rPr>
          <w:lang w:val="en-US"/>
        </w:rPr>
        <w:t>italicized</w:t>
      </w:r>
      <w:r w:rsidR="00AB2C0B" w:rsidRPr="00880F05">
        <w:rPr>
          <w:lang w:val="en-US"/>
        </w:rPr>
        <w:t xml:space="preserve">. </w:t>
      </w:r>
      <w:r w:rsidR="009D55A1">
        <w:rPr>
          <w:lang w:val="en-US"/>
        </w:rPr>
        <w:t xml:space="preserve">The symbols should </w:t>
      </w:r>
      <w:r w:rsidR="00F84742">
        <w:rPr>
          <w:lang w:val="en-US"/>
        </w:rPr>
        <w:t xml:space="preserve">be </w:t>
      </w:r>
      <w:r w:rsidR="009D55A1">
        <w:rPr>
          <w:lang w:val="en-US"/>
        </w:rPr>
        <w:t xml:space="preserve">presented as follows: </w:t>
      </w:r>
      <w:r w:rsidR="00E8278F">
        <w:rPr>
          <w:lang w:val="en-US"/>
        </w:rPr>
        <w:t>Greek letters</w:t>
      </w:r>
      <w:r w:rsidR="00FB30C8">
        <w:rPr>
          <w:lang w:val="en-US"/>
        </w:rPr>
        <w:t xml:space="preserve"> (α, β, γ</w:t>
      </w:r>
      <w:r w:rsidR="00AB2C0B" w:rsidRPr="00880F05">
        <w:rPr>
          <w:lang w:val="en-US"/>
        </w:rPr>
        <w:t xml:space="preserve"> </w:t>
      </w:r>
      <w:r w:rsidR="00FB30C8">
        <w:rPr>
          <w:lang w:val="en-US"/>
        </w:rPr>
        <w:t xml:space="preserve">etc.) </w:t>
      </w:r>
      <w:r w:rsidR="00AB2C0B" w:rsidRPr="00880F05">
        <w:rPr>
          <w:lang w:val="en-US"/>
        </w:rPr>
        <w:t xml:space="preserve">– </w:t>
      </w:r>
      <w:r w:rsidR="009D55A1">
        <w:rPr>
          <w:lang w:val="en-US"/>
        </w:rPr>
        <w:t>upright font</w:t>
      </w:r>
      <w:r w:rsidR="00AB2C0B" w:rsidRPr="00880F05">
        <w:rPr>
          <w:lang w:val="en-US"/>
        </w:rPr>
        <w:t xml:space="preserve">, </w:t>
      </w:r>
      <w:r w:rsidR="00D3295A">
        <w:rPr>
          <w:lang w:val="en-US"/>
        </w:rPr>
        <w:t>Roman letters</w:t>
      </w:r>
      <w:r w:rsidR="00AB2C0B" w:rsidRPr="00880F05">
        <w:rPr>
          <w:lang w:val="en-US"/>
        </w:rPr>
        <w:t xml:space="preserve"> </w:t>
      </w:r>
      <w:r w:rsidR="00FB30C8">
        <w:rPr>
          <w:lang w:val="en-US"/>
        </w:rPr>
        <w:t>(</w:t>
      </w:r>
      <w:r w:rsidR="00FB30C8" w:rsidRPr="00FB30C8">
        <w:rPr>
          <w:i/>
          <w:lang w:val="en-US"/>
        </w:rPr>
        <w:t>a</w:t>
      </w:r>
      <w:r w:rsidR="00FB30C8">
        <w:rPr>
          <w:lang w:val="en-US"/>
        </w:rPr>
        <w:t xml:space="preserve">, </w:t>
      </w:r>
      <w:r w:rsidR="00FB30C8" w:rsidRPr="00FB30C8">
        <w:rPr>
          <w:i/>
          <w:lang w:val="en-US"/>
        </w:rPr>
        <w:t>b</w:t>
      </w:r>
      <w:r w:rsidR="00FB30C8">
        <w:rPr>
          <w:lang w:val="en-US"/>
        </w:rPr>
        <w:t xml:space="preserve">, </w:t>
      </w:r>
      <w:r w:rsidR="00FB30C8" w:rsidRPr="00FB30C8">
        <w:rPr>
          <w:i/>
          <w:lang w:val="en-US"/>
        </w:rPr>
        <w:t>c</w:t>
      </w:r>
      <w:r w:rsidR="00FB30C8">
        <w:rPr>
          <w:lang w:val="en-US"/>
        </w:rPr>
        <w:t xml:space="preserve">, </w:t>
      </w:r>
      <w:r w:rsidR="00FB30C8" w:rsidRPr="00FB30C8">
        <w:rPr>
          <w:i/>
          <w:lang w:val="en-US"/>
        </w:rPr>
        <w:t>d</w:t>
      </w:r>
      <w:r w:rsidR="00FB30C8">
        <w:rPr>
          <w:lang w:val="en-US"/>
        </w:rPr>
        <w:t xml:space="preserve"> etc.)</w:t>
      </w:r>
      <w:r>
        <w:rPr>
          <w:lang w:val="en-US"/>
        </w:rPr>
        <w:t xml:space="preserve"> </w:t>
      </w:r>
      <w:r w:rsidR="00EC0399" w:rsidRPr="00880F05">
        <w:rPr>
          <w:lang w:val="en-US"/>
        </w:rPr>
        <w:t>–</w:t>
      </w:r>
      <w:r w:rsidR="002344CE">
        <w:rPr>
          <w:lang w:val="en-US"/>
        </w:rPr>
        <w:t xml:space="preserve"> </w:t>
      </w:r>
      <w:r w:rsidR="00D3295A">
        <w:rPr>
          <w:lang w:val="en-US"/>
        </w:rPr>
        <w:t>italic</w:t>
      </w:r>
      <w:r w:rsidR="009D55A1">
        <w:rPr>
          <w:lang w:val="en-US"/>
        </w:rPr>
        <w:t>s</w:t>
      </w:r>
      <w:r w:rsidR="00AB2C0B" w:rsidRPr="00880F05">
        <w:rPr>
          <w:lang w:val="en-US"/>
        </w:rPr>
        <w:t xml:space="preserve">, </w:t>
      </w:r>
      <w:r w:rsidR="009D55A1">
        <w:rPr>
          <w:lang w:val="en-US"/>
        </w:rPr>
        <w:t>vectors</w:t>
      </w:r>
      <w:r w:rsidR="00FB30C8">
        <w:rPr>
          <w:lang w:val="en-US"/>
        </w:rPr>
        <w:t xml:space="preserve"> (</w:t>
      </w:r>
      <w:r w:rsidR="00FB30C8" w:rsidRPr="00326C8A">
        <w:rPr>
          <w:b/>
          <w:lang w:val="en-US"/>
        </w:rPr>
        <w:t>r</w:t>
      </w:r>
      <w:r w:rsidR="00FB30C8" w:rsidRPr="00326C8A">
        <w:rPr>
          <w:lang w:val="en-US"/>
        </w:rPr>
        <w:t> = (</w:t>
      </w:r>
      <w:proofErr w:type="spellStart"/>
      <w:r w:rsidR="00326C8A" w:rsidRPr="00326C8A">
        <w:rPr>
          <w:i/>
          <w:lang w:val="en-US"/>
        </w:rPr>
        <w:t>i</w:t>
      </w:r>
      <w:proofErr w:type="spellEnd"/>
      <w:r w:rsidR="00FB30C8" w:rsidRPr="00326C8A">
        <w:rPr>
          <w:lang w:val="en-US"/>
        </w:rPr>
        <w:t>,</w:t>
      </w:r>
      <w:r w:rsidR="00326C8A">
        <w:rPr>
          <w:lang w:val="en-US"/>
        </w:rPr>
        <w:t> </w:t>
      </w:r>
      <w:r w:rsidR="00FB30C8" w:rsidRPr="00326C8A">
        <w:rPr>
          <w:i/>
          <w:lang w:val="en-US"/>
        </w:rPr>
        <w:t>j</w:t>
      </w:r>
      <w:r w:rsidR="00FB30C8" w:rsidRPr="00326C8A">
        <w:rPr>
          <w:lang w:val="en-US"/>
        </w:rPr>
        <w:t>,</w:t>
      </w:r>
      <w:r w:rsidR="00326C8A">
        <w:rPr>
          <w:lang w:val="en-US"/>
        </w:rPr>
        <w:t> </w:t>
      </w:r>
      <w:r w:rsidR="00FB30C8" w:rsidRPr="00326C8A">
        <w:rPr>
          <w:i/>
          <w:lang w:val="en-US"/>
        </w:rPr>
        <w:t>k</w:t>
      </w:r>
      <w:r w:rsidR="00FB30C8" w:rsidRPr="00326C8A">
        <w:rPr>
          <w:lang w:val="en-US"/>
        </w:rPr>
        <w:t>)</w:t>
      </w:r>
      <w:r w:rsidR="00326C8A">
        <w:rPr>
          <w:lang w:val="en-US"/>
        </w:rPr>
        <w:t>)</w:t>
      </w:r>
      <w:r w:rsidR="00AB2C0B" w:rsidRPr="00880F05">
        <w:rPr>
          <w:lang w:val="en-US"/>
        </w:rPr>
        <w:t xml:space="preserve"> – </w:t>
      </w:r>
      <w:proofErr w:type="spellStart"/>
      <w:r w:rsidR="009D55A1">
        <w:rPr>
          <w:lang w:val="en-US"/>
        </w:rPr>
        <w:t>semibold</w:t>
      </w:r>
      <w:proofErr w:type="spellEnd"/>
      <w:r w:rsidR="009D55A1">
        <w:rPr>
          <w:lang w:val="en-US"/>
        </w:rPr>
        <w:t xml:space="preserve"> </w:t>
      </w:r>
      <w:r w:rsidR="00AB2C0B" w:rsidRPr="00880F05">
        <w:rPr>
          <w:lang w:val="en-US"/>
        </w:rPr>
        <w:t>(</w:t>
      </w:r>
      <w:r w:rsidR="009D55A1">
        <w:rPr>
          <w:lang w:val="en-US"/>
        </w:rPr>
        <w:t xml:space="preserve">without an arrow over </w:t>
      </w:r>
      <w:r w:rsidR="00F84742">
        <w:rPr>
          <w:lang w:val="en-US"/>
        </w:rPr>
        <w:t>a</w:t>
      </w:r>
      <w:r w:rsidR="009D55A1">
        <w:rPr>
          <w:lang w:val="en-US"/>
        </w:rPr>
        <w:t xml:space="preserve"> letter</w:t>
      </w:r>
      <w:r w:rsidR="00AB2C0B" w:rsidRPr="00880F05">
        <w:rPr>
          <w:lang w:val="en-US"/>
        </w:rPr>
        <w:t xml:space="preserve">), </w:t>
      </w:r>
      <w:r w:rsidR="002344CE">
        <w:rPr>
          <w:lang w:val="en-US"/>
        </w:rPr>
        <w:t>brackets and</w:t>
      </w:r>
      <w:r w:rsidR="00AB2C0B" w:rsidRPr="00880F05">
        <w:rPr>
          <w:lang w:val="en-US"/>
        </w:rPr>
        <w:t xml:space="preserve"> </w:t>
      </w:r>
      <w:r w:rsidR="002344CE">
        <w:rPr>
          <w:lang w:val="en-US"/>
        </w:rPr>
        <w:t>arithmetic signs</w:t>
      </w:r>
      <w:r w:rsidR="00AB2C0B" w:rsidRPr="00880F05">
        <w:rPr>
          <w:lang w:val="en-US"/>
        </w:rPr>
        <w:t xml:space="preserve"> </w:t>
      </w:r>
      <w:r w:rsidR="00EC0399" w:rsidRPr="00880F05">
        <w:rPr>
          <w:lang w:val="en-US"/>
        </w:rPr>
        <w:t>–</w:t>
      </w:r>
      <w:r w:rsidR="00AB2C0B" w:rsidRPr="00880F05">
        <w:rPr>
          <w:lang w:val="en-US"/>
        </w:rPr>
        <w:t xml:space="preserve"> </w:t>
      </w:r>
      <w:r w:rsidR="002344CE">
        <w:rPr>
          <w:lang w:val="en-US"/>
        </w:rPr>
        <w:t>upright</w:t>
      </w:r>
      <w:r w:rsidR="00AB2C0B" w:rsidRPr="00880F05">
        <w:rPr>
          <w:lang w:val="en-US"/>
        </w:rPr>
        <w:t xml:space="preserve">. </w:t>
      </w:r>
      <w:r w:rsidR="002344CE">
        <w:rPr>
          <w:lang w:val="en-US"/>
        </w:rPr>
        <w:t xml:space="preserve">Do not write numbers and short algebraic expressions in </w:t>
      </w:r>
      <w:proofErr w:type="spellStart"/>
      <w:r w:rsidR="0024147C" w:rsidRPr="00880F05">
        <w:rPr>
          <w:lang w:val="en-US"/>
        </w:rPr>
        <w:t>MathType</w:t>
      </w:r>
      <w:proofErr w:type="spellEnd"/>
      <w:r w:rsidR="0024147C" w:rsidRPr="00880F05">
        <w:rPr>
          <w:lang w:val="en-US"/>
        </w:rPr>
        <w:t xml:space="preserve"> Equation.</w:t>
      </w:r>
      <w:r w:rsidR="00BD0A83" w:rsidRPr="00880F05">
        <w:rPr>
          <w:lang w:val="en-US"/>
        </w:rPr>
        <w:t xml:space="preserve"> </w:t>
      </w:r>
      <w:r w:rsidR="002344CE">
        <w:rPr>
          <w:lang w:val="en-US"/>
        </w:rPr>
        <w:t>For example</w:t>
      </w:r>
      <w:r>
        <w:rPr>
          <w:lang w:val="en-US"/>
        </w:rPr>
        <w:t>,</w:t>
      </w:r>
      <w:r w:rsidR="00BD0A83" w:rsidRPr="00880F05">
        <w:rPr>
          <w:lang w:val="en-US"/>
        </w:rPr>
        <w:t xml:space="preserve"> </w:t>
      </w:r>
      <w:r w:rsidR="00BD0A83">
        <w:sym w:font="Symbol" w:char="F064"/>
      </w:r>
      <w:r w:rsidR="00BD0A83" w:rsidRPr="00880F05">
        <w:rPr>
          <w:lang w:val="en-US"/>
        </w:rPr>
        <w:t>(</w:t>
      </w:r>
      <w:r w:rsidR="00BD0A83" w:rsidRPr="00880F05">
        <w:rPr>
          <w:i/>
          <w:lang w:val="en-US"/>
        </w:rPr>
        <w:t>a</w:t>
      </w:r>
      <w:r w:rsidR="00BD0A83" w:rsidRPr="00880F05">
        <w:rPr>
          <w:lang w:val="en-US"/>
        </w:rPr>
        <w:t xml:space="preserve">, </w:t>
      </w:r>
      <w:r w:rsidR="00BD0A83" w:rsidRPr="00880F05">
        <w:rPr>
          <w:i/>
          <w:lang w:val="en-US"/>
        </w:rPr>
        <w:t>h</w:t>
      </w:r>
      <w:r w:rsidR="00BD0A83" w:rsidRPr="00880F05">
        <w:rPr>
          <w:lang w:val="en-US"/>
        </w:rPr>
        <w:t>) = 0</w:t>
      </w:r>
      <w:r w:rsidR="00610C26" w:rsidRPr="00880F05">
        <w:rPr>
          <w:lang w:val="en-US"/>
        </w:rPr>
        <w:t>.</w:t>
      </w:r>
      <w:r w:rsidR="00BD0A83" w:rsidRPr="00880F05">
        <w:rPr>
          <w:lang w:val="en-US"/>
        </w:rPr>
        <w:t xml:space="preserve">34. </w:t>
      </w:r>
      <w:r w:rsidR="00FE0F55" w:rsidRPr="00FE0F55">
        <w:rPr>
          <w:lang w:val="en-US"/>
        </w:rPr>
        <w:t xml:space="preserve">However, variables with subscripts are better written in </w:t>
      </w:r>
      <w:proofErr w:type="spellStart"/>
      <w:r w:rsidR="00FE0F55" w:rsidRPr="00FE0F55">
        <w:rPr>
          <w:lang w:val="en-US"/>
        </w:rPr>
        <w:t>MathType</w:t>
      </w:r>
      <w:proofErr w:type="spellEnd"/>
      <w:r w:rsidR="00FE0F55" w:rsidRPr="00FE0F55">
        <w:rPr>
          <w:lang w:val="en-US"/>
        </w:rPr>
        <w:t>: a</w:t>
      </w:r>
      <w:r w:rsidR="00FE0F55" w:rsidRPr="00FE0F55">
        <w:rPr>
          <w:vertAlign w:val="subscript"/>
          <w:lang w:val="en-US"/>
        </w:rPr>
        <w:t>0</w:t>
      </w:r>
      <w:r w:rsidR="00FE0F55" w:rsidRPr="00FE0F55">
        <w:rPr>
          <w:lang w:val="en-US"/>
        </w:rPr>
        <w:t xml:space="preserve"> looks worse </w:t>
      </w:r>
      <w:proofErr w:type="gramStart"/>
      <w:r w:rsidR="00FE0F55" w:rsidRPr="00FE0F55">
        <w:rPr>
          <w:lang w:val="en-US"/>
        </w:rPr>
        <w:t xml:space="preserve">than </w:t>
      </w:r>
      <w:proofErr w:type="gramEnd"/>
      <w:r w:rsidR="00FE0F55" w:rsidRPr="00FE0F55">
        <w:rPr>
          <w:position w:val="-12"/>
          <w:lang w:val="en-US"/>
        </w:rPr>
        <w:object w:dxaOrig="260" w:dyaOrig="360">
          <v:shape id="_x0000_i1026" type="#_x0000_t75" style="width:12.5pt;height:18.15pt" o:ole="">
            <v:imagedata r:id="rId9" o:title=""/>
          </v:shape>
          <o:OLEObject Type="Embed" ProgID="Equation.DSMT4" ShapeID="_x0000_i1026" DrawAspect="Content" ObjectID="_1745703220" r:id="rId10"/>
        </w:object>
      </w:r>
      <w:r w:rsidR="00FE0F55" w:rsidRPr="00FE0F55">
        <w:rPr>
          <w:lang w:val="en-US"/>
        </w:rPr>
        <w:t xml:space="preserve">. </w:t>
      </w:r>
      <w:r w:rsidR="002344CE">
        <w:rPr>
          <w:lang w:val="en-US"/>
        </w:rPr>
        <w:t>A number in the normalized form is as follows</w:t>
      </w:r>
      <w:r w:rsidR="00BD4BDD" w:rsidRPr="00880F05">
        <w:rPr>
          <w:lang w:val="en-US"/>
        </w:rPr>
        <w:t>: 1</w:t>
      </w:r>
      <w:r w:rsidR="00610C26" w:rsidRPr="00880F05">
        <w:rPr>
          <w:lang w:val="en-US"/>
        </w:rPr>
        <w:t>.</w:t>
      </w:r>
      <w:r w:rsidR="00BD4BDD" w:rsidRPr="00880F05">
        <w:rPr>
          <w:lang w:val="en-US"/>
        </w:rPr>
        <w:t>66057·10</w:t>
      </w:r>
      <w:r w:rsidR="00BD4BDD" w:rsidRPr="00880F05">
        <w:rPr>
          <w:vertAlign w:val="superscript"/>
          <w:lang w:val="en-US"/>
        </w:rPr>
        <w:noBreakHyphen/>
        <w:t>27</w:t>
      </w:r>
      <w:r w:rsidR="00BD4BDD" w:rsidRPr="00880F05">
        <w:rPr>
          <w:lang w:val="en-US"/>
        </w:rPr>
        <w:t>.</w:t>
      </w:r>
    </w:p>
    <w:p w:rsidR="00301979" w:rsidRPr="00326C8A" w:rsidRDefault="002344CE" w:rsidP="00301979">
      <w:pPr>
        <w:pStyle w:val="af5"/>
        <w:spacing w:before="0" w:beforeAutospacing="0" w:after="0" w:afterAutospacing="0"/>
        <w:ind w:firstLine="357"/>
        <w:jc w:val="both"/>
        <w:rPr>
          <w:lang w:val="en-US"/>
        </w:rPr>
      </w:pPr>
      <w:r>
        <w:rPr>
          <w:lang w:val="en-US"/>
        </w:rPr>
        <w:t xml:space="preserve">Let us </w:t>
      </w:r>
      <w:r w:rsidR="004D534D">
        <w:rPr>
          <w:lang w:val="en-US"/>
        </w:rPr>
        <w:t>consider the Boyle</w:t>
      </w:r>
      <w:r w:rsidR="00326C8A">
        <w:rPr>
          <w:lang w:val="en-US"/>
        </w:rPr>
        <w:t>–</w:t>
      </w:r>
      <w:proofErr w:type="spellStart"/>
      <w:r w:rsidR="004D534D">
        <w:rPr>
          <w:lang w:val="en-US"/>
        </w:rPr>
        <w:t>Mariotte’s</w:t>
      </w:r>
      <w:proofErr w:type="spellEnd"/>
      <w:r w:rsidR="004D534D">
        <w:rPr>
          <w:lang w:val="en-US"/>
        </w:rPr>
        <w:t xml:space="preserve"> law to illustrate the use </w:t>
      </w:r>
      <w:r>
        <w:rPr>
          <w:lang w:val="en-US"/>
        </w:rPr>
        <w:t>of hyphens and dashes</w:t>
      </w:r>
      <w:r w:rsidR="004D534D">
        <w:rPr>
          <w:lang w:val="en-US"/>
        </w:rPr>
        <w:t>. Its mathematical presentation is</w:t>
      </w:r>
      <w:r w:rsidR="00301979" w:rsidRPr="00326C8A">
        <w:rPr>
          <w:lang w:val="en-US"/>
        </w:rPr>
        <w:t>:</w:t>
      </w:r>
      <w:r w:rsidR="00610C26" w:rsidRPr="00326C8A">
        <w:rPr>
          <w:lang w:val="en-US"/>
        </w:rPr>
        <w:t xml:space="preserve"> </w:t>
      </w:r>
    </w:p>
    <w:p w:rsidR="00301979" w:rsidRDefault="00301979" w:rsidP="00394168">
      <w:pPr>
        <w:pStyle w:val="af5"/>
        <w:spacing w:before="120" w:beforeAutospacing="0" w:after="120" w:afterAutospacing="0"/>
        <w:jc w:val="center"/>
      </w:pPr>
      <w:r w:rsidRPr="00301979">
        <w:rPr>
          <w:position w:val="-10"/>
        </w:rPr>
        <w:object w:dxaOrig="880" w:dyaOrig="320">
          <v:shape id="_x0000_i1027" type="#_x0000_t75" style="width:44.45pt;height:15.65pt" o:ole="">
            <v:imagedata r:id="rId11" o:title=""/>
          </v:shape>
          <o:OLEObject Type="Embed" ProgID="Equation.DSMT4" ShapeID="_x0000_i1027" DrawAspect="Content" ObjectID="_1745703221" r:id="rId12"/>
        </w:object>
      </w:r>
    </w:p>
    <w:p w:rsidR="00301979" w:rsidRPr="00880F05" w:rsidRDefault="004D534D" w:rsidP="00394168">
      <w:pPr>
        <w:pStyle w:val="af5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301979" w:rsidRPr="00880F05">
        <w:rPr>
          <w:lang w:val="en-US"/>
        </w:rPr>
        <w:t xml:space="preserve"> </w:t>
      </w:r>
      <w:r w:rsidR="00301979" w:rsidRPr="00880F05">
        <w:rPr>
          <w:i/>
          <w:lang w:val="en-US"/>
        </w:rPr>
        <w:t>p</w:t>
      </w:r>
      <w:r w:rsidR="00F84742">
        <w:rPr>
          <w:lang w:val="en-US"/>
        </w:rPr>
        <w:t xml:space="preserve"> is </w:t>
      </w:r>
      <w:r>
        <w:rPr>
          <w:lang w:val="en-US"/>
        </w:rPr>
        <w:t>gas pressure</w:t>
      </w:r>
      <w:r w:rsidR="00301979" w:rsidRPr="00880F05">
        <w:rPr>
          <w:lang w:val="en-US"/>
        </w:rPr>
        <w:t xml:space="preserve">; </w:t>
      </w:r>
      <w:r w:rsidR="00301979" w:rsidRPr="00301979">
        <w:rPr>
          <w:i/>
          <w:lang w:val="en-US"/>
        </w:rPr>
        <w:t>V</w:t>
      </w:r>
      <w:r w:rsidR="00F84742">
        <w:rPr>
          <w:lang w:val="en-US"/>
        </w:rPr>
        <w:t xml:space="preserve"> </w:t>
      </w:r>
      <w:r w:rsidR="00B85A09">
        <w:rPr>
          <w:lang w:val="en-US"/>
        </w:rPr>
        <w:t>is</w:t>
      </w:r>
      <w:r w:rsidR="00F84742">
        <w:rPr>
          <w:lang w:val="en-US"/>
        </w:rPr>
        <w:t xml:space="preserve"> </w:t>
      </w:r>
      <w:r>
        <w:rPr>
          <w:lang w:val="en-US"/>
        </w:rPr>
        <w:t>gas volume</w:t>
      </w:r>
      <w:r w:rsidR="00301979" w:rsidRPr="00880F05">
        <w:rPr>
          <w:lang w:val="en-US"/>
        </w:rPr>
        <w:t>;</w:t>
      </w:r>
      <w:r w:rsidR="00301979" w:rsidRPr="00880F05">
        <w:rPr>
          <w:i/>
          <w:lang w:val="en-US"/>
        </w:rPr>
        <w:t xml:space="preserve"> </w:t>
      </w:r>
      <w:r w:rsidR="00301979" w:rsidRPr="00301979">
        <w:rPr>
          <w:i/>
          <w:lang w:val="en-US"/>
        </w:rPr>
        <w:t>C</w:t>
      </w:r>
      <w:r w:rsidR="00F84742">
        <w:rPr>
          <w:lang w:val="en-US"/>
        </w:rPr>
        <w:t xml:space="preserve"> </w:t>
      </w:r>
      <w:r w:rsidR="00B85A09">
        <w:rPr>
          <w:lang w:val="en-US"/>
        </w:rPr>
        <w:t>is</w:t>
      </w:r>
      <w:r w:rsidR="00F84742">
        <w:rPr>
          <w:lang w:val="en-US"/>
        </w:rPr>
        <w:t xml:space="preserve"> </w:t>
      </w:r>
      <w:r>
        <w:rPr>
          <w:lang w:val="en-US"/>
        </w:rPr>
        <w:t>value constant in set conditions</w:t>
      </w:r>
      <w:r w:rsidR="00301979" w:rsidRPr="00880F05">
        <w:rPr>
          <w:lang w:val="en-US"/>
        </w:rPr>
        <w:t xml:space="preserve">. </w:t>
      </w:r>
    </w:p>
    <w:p w:rsidR="0024147C" w:rsidRPr="00880F05" w:rsidRDefault="004D534D" w:rsidP="0024147C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On </w:t>
      </w:r>
      <w:r w:rsidR="00D8705C">
        <w:rPr>
          <w:b/>
          <w:bCs/>
          <w:lang w:val="en-US"/>
        </w:rPr>
        <w:t xml:space="preserve">the </w:t>
      </w:r>
      <w:r w:rsidR="00F84742">
        <w:rPr>
          <w:b/>
          <w:bCs/>
          <w:lang w:val="en-US"/>
        </w:rPr>
        <w:t xml:space="preserve">presentation of </w:t>
      </w:r>
      <w:r>
        <w:rPr>
          <w:b/>
          <w:bCs/>
          <w:lang w:val="en-US"/>
        </w:rPr>
        <w:t xml:space="preserve">physical units </w:t>
      </w:r>
    </w:p>
    <w:p w:rsidR="0024147C" w:rsidRPr="00880F05" w:rsidRDefault="00B85A09" w:rsidP="00D84F23">
      <w:pPr>
        <w:ind w:firstLine="357"/>
        <w:jc w:val="both"/>
        <w:rPr>
          <w:lang w:val="en-US"/>
        </w:rPr>
      </w:pPr>
      <w:r>
        <w:rPr>
          <w:lang w:val="en-US"/>
        </w:rPr>
        <w:t>Use the International System of Units (SI) for physical units. An examples of presentations are as follows:</w:t>
      </w:r>
      <w:r w:rsidR="007C1257">
        <w:rPr>
          <w:lang w:val="en-US"/>
        </w:rPr>
        <w:t xml:space="preserve"> </w:t>
      </w:r>
      <w:r w:rsidR="00BD4BDD" w:rsidRPr="00880F05">
        <w:rPr>
          <w:lang w:val="en-US"/>
        </w:rPr>
        <w:t>W</w:t>
      </w:r>
      <w:proofErr w:type="gramStart"/>
      <w:r w:rsidR="00BD4BDD" w:rsidRPr="00880F05">
        <w:rPr>
          <w:lang w:val="en-US"/>
        </w:rPr>
        <w:t>/(</w:t>
      </w:r>
      <w:proofErr w:type="spellStart"/>
      <w:proofErr w:type="gramEnd"/>
      <w:r w:rsidR="00BD4BDD" w:rsidRPr="00880F05">
        <w:rPr>
          <w:lang w:val="en-US"/>
        </w:rPr>
        <w:t>m·</w:t>
      </w:r>
      <w:r w:rsidR="00D84F23" w:rsidRPr="00880F05">
        <w:rPr>
          <w:lang w:val="en-US"/>
        </w:rPr>
        <w:t>K</w:t>
      </w:r>
      <w:proofErr w:type="spellEnd"/>
      <w:r w:rsidR="00D84F23" w:rsidRPr="00880F05">
        <w:rPr>
          <w:lang w:val="en-US"/>
        </w:rPr>
        <w:t>)</w:t>
      </w:r>
      <w:r>
        <w:rPr>
          <w:lang w:val="en-US"/>
        </w:rPr>
        <w:t xml:space="preserve"> or </w:t>
      </w:r>
      <w:proofErr w:type="spellStart"/>
      <w:r>
        <w:rPr>
          <w:lang w:val="en-US"/>
        </w:rPr>
        <w:t>W</w:t>
      </w:r>
      <w:r w:rsidR="00BD4BDD" w:rsidRPr="00880F05">
        <w:rPr>
          <w:lang w:val="en-US"/>
        </w:rPr>
        <w:t>·</w:t>
      </w:r>
      <w:r>
        <w:rPr>
          <w:lang w:val="en-US"/>
        </w:rPr>
        <w:t>m</w:t>
      </w:r>
      <w:proofErr w:type="spellEnd"/>
      <w:r w:rsidR="00BD4BDD" w:rsidRPr="00880F05">
        <w:rPr>
          <w:vertAlign w:val="superscript"/>
          <w:lang w:val="en-US"/>
        </w:rPr>
        <w:t>–1</w:t>
      </w:r>
      <w:r w:rsidR="00BD4BDD" w:rsidRPr="00880F05">
        <w:rPr>
          <w:lang w:val="en-US"/>
        </w:rPr>
        <w:t>·</w:t>
      </w:r>
      <w:r>
        <w:rPr>
          <w:lang w:val="en-US"/>
        </w:rPr>
        <w:t>K</w:t>
      </w:r>
      <w:r w:rsidR="00BD4BDD" w:rsidRPr="00880F05">
        <w:rPr>
          <w:vertAlign w:val="superscript"/>
          <w:lang w:val="en-US"/>
        </w:rPr>
        <w:t>–1</w:t>
      </w:r>
      <w:r w:rsidR="00BD4BDD" w:rsidRPr="00880F05">
        <w:rPr>
          <w:lang w:val="en-US"/>
        </w:rPr>
        <w:t>.</w:t>
      </w:r>
      <w:r w:rsidR="00BD0A83" w:rsidRPr="00880F05">
        <w:rPr>
          <w:lang w:val="en-US"/>
        </w:rPr>
        <w:t xml:space="preserve"> </w:t>
      </w:r>
      <w:r w:rsidR="007C1257">
        <w:rPr>
          <w:lang w:val="en-US"/>
        </w:rPr>
        <w:t xml:space="preserve">The measurement units are written through a </w:t>
      </w:r>
      <w:r w:rsidR="00A52AF5">
        <w:rPr>
          <w:lang w:val="en-US"/>
        </w:rPr>
        <w:t>hard space</w:t>
      </w:r>
      <w:r w:rsidR="00BD0A83" w:rsidRPr="00880F05">
        <w:rPr>
          <w:lang w:val="en-US"/>
        </w:rPr>
        <w:t xml:space="preserve">, </w:t>
      </w:r>
      <w:r w:rsidR="00A52AF5">
        <w:rPr>
          <w:lang w:val="en-US"/>
        </w:rPr>
        <w:t>for example</w:t>
      </w:r>
      <w:r w:rsidR="00BD0A83" w:rsidRPr="00880F05">
        <w:rPr>
          <w:lang w:val="en-US"/>
        </w:rPr>
        <w:t>: 10</w:t>
      </w:r>
      <w:r w:rsidR="00E454B0" w:rsidRPr="00880F05">
        <w:rPr>
          <w:lang w:val="en-US"/>
        </w:rPr>
        <w:t> </w:t>
      </w:r>
      <w:r w:rsidR="00971FBE" w:rsidRPr="00394168">
        <w:sym w:font="Symbol" w:char="F0B0"/>
      </w:r>
      <w:r w:rsidR="00BD0A83" w:rsidRPr="00394168">
        <w:rPr>
          <w:lang w:val="en-US"/>
        </w:rPr>
        <w:t>C</w:t>
      </w:r>
      <w:r w:rsidR="00BD0A83" w:rsidRPr="00880F05">
        <w:rPr>
          <w:lang w:val="en-US"/>
        </w:rPr>
        <w:t>, 23</w:t>
      </w:r>
      <w:r w:rsidR="00E454B0" w:rsidRPr="00880F05">
        <w:rPr>
          <w:lang w:val="en-US"/>
        </w:rPr>
        <w:t> </w:t>
      </w:r>
      <w:r w:rsidR="00BD0A83" w:rsidRPr="00880F05">
        <w:rPr>
          <w:lang w:val="en-US"/>
        </w:rPr>
        <w:t xml:space="preserve">K, </w:t>
      </w:r>
      <w:proofErr w:type="gramStart"/>
      <w:r w:rsidR="00BD0A83" w:rsidRPr="00880F05">
        <w:rPr>
          <w:lang w:val="en-US"/>
        </w:rPr>
        <w:t>123</w:t>
      </w:r>
      <w:proofErr w:type="gramEnd"/>
      <w:r w:rsidR="00E454B0" w:rsidRPr="00880F05">
        <w:rPr>
          <w:lang w:val="en-US"/>
        </w:rPr>
        <w:t> </w:t>
      </w:r>
      <w:r w:rsidR="00BD0A83" w:rsidRPr="00880F05">
        <w:rPr>
          <w:lang w:val="en-US"/>
        </w:rPr>
        <w:t>%.</w:t>
      </w:r>
    </w:p>
    <w:p w:rsidR="00D06437" w:rsidRPr="00880F05" w:rsidRDefault="00A52AF5" w:rsidP="00D0643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presentation of mathematical statements</w:t>
      </w:r>
      <w:r w:rsidR="00D06437" w:rsidRPr="00880F05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theorems</w:t>
      </w:r>
      <w:r w:rsidR="00D06437" w:rsidRPr="00880F05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definitions, etc</w:t>
      </w:r>
      <w:r w:rsidR="00D06437" w:rsidRPr="00880F05">
        <w:rPr>
          <w:b/>
          <w:bCs/>
          <w:lang w:val="en-US"/>
        </w:rPr>
        <w:t xml:space="preserve">. </w:t>
      </w:r>
    </w:p>
    <w:p w:rsidR="00D06437" w:rsidRPr="00880F05" w:rsidRDefault="00911B24" w:rsidP="00D06437">
      <w:pPr>
        <w:ind w:right="-6" w:firstLine="357"/>
        <w:jc w:val="both"/>
        <w:rPr>
          <w:lang w:val="en-US"/>
        </w:rPr>
      </w:pPr>
      <w:r>
        <w:rPr>
          <w:lang w:val="en-US"/>
        </w:rPr>
        <w:t>Mathematical statements</w:t>
      </w:r>
      <w:r w:rsidR="00D06437" w:rsidRPr="00880F05">
        <w:rPr>
          <w:lang w:val="en-US"/>
        </w:rPr>
        <w:t xml:space="preserve">, </w:t>
      </w:r>
      <w:r>
        <w:rPr>
          <w:lang w:val="en-US"/>
        </w:rPr>
        <w:t>theorems</w:t>
      </w:r>
      <w:r w:rsidR="00D06437" w:rsidRPr="00880F05">
        <w:rPr>
          <w:lang w:val="en-US"/>
        </w:rPr>
        <w:t xml:space="preserve">, </w:t>
      </w:r>
      <w:r>
        <w:rPr>
          <w:lang w:val="en-US"/>
        </w:rPr>
        <w:t>their proofs</w:t>
      </w:r>
      <w:r w:rsidR="00D06437" w:rsidRPr="00880F05">
        <w:rPr>
          <w:lang w:val="en-US"/>
        </w:rPr>
        <w:t xml:space="preserve">, </w:t>
      </w:r>
      <w:r>
        <w:rPr>
          <w:lang w:val="en-US"/>
        </w:rPr>
        <w:t>examples, etc</w:t>
      </w:r>
      <w:r w:rsidR="00D06437" w:rsidRPr="00880F05">
        <w:rPr>
          <w:lang w:val="en-US"/>
        </w:rPr>
        <w:t xml:space="preserve">. </w:t>
      </w:r>
      <w:r w:rsidR="0053167A">
        <w:rPr>
          <w:lang w:val="en-US"/>
        </w:rPr>
        <w:t xml:space="preserve">are presented as a separate paragraph beginning with </w:t>
      </w:r>
      <w:r w:rsidR="00F84742">
        <w:rPr>
          <w:lang w:val="en-US"/>
        </w:rPr>
        <w:t>its</w:t>
      </w:r>
      <w:r w:rsidR="0053167A">
        <w:rPr>
          <w:lang w:val="en-US"/>
        </w:rPr>
        <w:t xml:space="preserve"> name </w:t>
      </w:r>
      <w:r w:rsidR="00D06437" w:rsidRPr="00880F05">
        <w:rPr>
          <w:lang w:val="en-US"/>
        </w:rPr>
        <w:t>(</w:t>
      </w:r>
      <w:r w:rsidR="0053167A">
        <w:rPr>
          <w:lang w:val="en-US"/>
        </w:rPr>
        <w:t>Definition</w:t>
      </w:r>
      <w:r w:rsidR="00D06437" w:rsidRPr="00880F05">
        <w:rPr>
          <w:lang w:val="en-US"/>
        </w:rPr>
        <w:t xml:space="preserve">, </w:t>
      </w:r>
      <w:r w:rsidR="0053167A">
        <w:rPr>
          <w:lang w:val="en-US"/>
        </w:rPr>
        <w:t>Theorem</w:t>
      </w:r>
      <w:r w:rsidR="00D06437" w:rsidRPr="00880F05">
        <w:rPr>
          <w:lang w:val="en-US"/>
        </w:rPr>
        <w:t xml:space="preserve">, </w:t>
      </w:r>
      <w:r w:rsidR="0053167A">
        <w:rPr>
          <w:lang w:val="en-US"/>
        </w:rPr>
        <w:t>Proof</w:t>
      </w:r>
      <w:r w:rsidR="00D06437" w:rsidRPr="00880F05">
        <w:rPr>
          <w:lang w:val="en-US"/>
        </w:rPr>
        <w:t xml:space="preserve">, </w:t>
      </w:r>
      <w:r w:rsidR="0053167A">
        <w:rPr>
          <w:lang w:val="en-US"/>
        </w:rPr>
        <w:t>Lemma</w:t>
      </w:r>
      <w:r w:rsidR="00D06437" w:rsidRPr="00880F05">
        <w:rPr>
          <w:lang w:val="en-US"/>
        </w:rPr>
        <w:t xml:space="preserve">, </w:t>
      </w:r>
      <w:r w:rsidR="0053167A">
        <w:rPr>
          <w:lang w:val="en-US"/>
        </w:rPr>
        <w:t>Example, etc</w:t>
      </w:r>
      <w:r w:rsidR="00544D3E" w:rsidRPr="00880F05">
        <w:rPr>
          <w:lang w:val="en-US"/>
        </w:rPr>
        <w:t xml:space="preserve">.) separated from the paragraph </w:t>
      </w:r>
      <w:r w:rsidR="00544D3E">
        <w:rPr>
          <w:lang w:val="en-US"/>
        </w:rPr>
        <w:t xml:space="preserve">text with a </w:t>
      </w:r>
      <w:proofErr w:type="gramStart"/>
      <w:r w:rsidR="00F84742">
        <w:rPr>
          <w:lang w:val="en-US"/>
        </w:rPr>
        <w:t>full-stop</w:t>
      </w:r>
      <w:proofErr w:type="gramEnd"/>
      <w:r w:rsidR="00544D3E">
        <w:rPr>
          <w:lang w:val="en-US"/>
        </w:rPr>
        <w:t xml:space="preserve">. The paragraph </w:t>
      </w:r>
      <w:proofErr w:type="gramStart"/>
      <w:r w:rsidR="00544D3E">
        <w:rPr>
          <w:lang w:val="en-US"/>
        </w:rPr>
        <w:t>is separated</w:t>
      </w:r>
      <w:proofErr w:type="gramEnd"/>
      <w:r w:rsidR="00544D3E">
        <w:rPr>
          <w:lang w:val="en-US"/>
        </w:rPr>
        <w:t xml:space="preserve"> both from the preceding and succeeding texts with 6 </w:t>
      </w:r>
      <w:proofErr w:type="spellStart"/>
      <w:r w:rsidR="00544D3E">
        <w:rPr>
          <w:lang w:val="en-US"/>
        </w:rPr>
        <w:t>pt</w:t>
      </w:r>
      <w:proofErr w:type="spellEnd"/>
      <w:r w:rsidR="00544D3E">
        <w:rPr>
          <w:lang w:val="en-US"/>
        </w:rPr>
        <w:t xml:space="preserve"> </w:t>
      </w:r>
      <w:proofErr w:type="spellStart"/>
      <w:r w:rsidR="00544D3E">
        <w:rPr>
          <w:lang w:val="en-US"/>
        </w:rPr>
        <w:t>spacings</w:t>
      </w:r>
      <w:proofErr w:type="spellEnd"/>
      <w:r w:rsidR="00D06437" w:rsidRPr="00880F05">
        <w:rPr>
          <w:lang w:val="en-US"/>
        </w:rPr>
        <w:t xml:space="preserve">. </w:t>
      </w:r>
    </w:p>
    <w:p w:rsidR="00D06437" w:rsidRPr="00880F05" w:rsidRDefault="00544D3E" w:rsidP="008257D2">
      <w:pPr>
        <w:spacing w:before="120" w:after="120"/>
        <w:ind w:firstLine="357"/>
        <w:jc w:val="both"/>
        <w:rPr>
          <w:lang w:val="en-US"/>
        </w:rPr>
      </w:pPr>
      <w:r>
        <w:rPr>
          <w:b/>
          <w:iCs/>
          <w:lang w:val="en-US"/>
        </w:rPr>
        <w:t>Theorem</w:t>
      </w:r>
      <w:r w:rsidR="00D06437" w:rsidRPr="00880F05">
        <w:rPr>
          <w:b/>
          <w:iCs/>
          <w:lang w:val="en-US"/>
        </w:rPr>
        <w:t> 1</w:t>
      </w:r>
      <w:r w:rsidR="00D06437" w:rsidRPr="00880F05">
        <w:rPr>
          <w:i/>
          <w:iCs/>
          <w:lang w:val="en-US"/>
        </w:rPr>
        <w:t xml:space="preserve">. </w:t>
      </w:r>
      <w:r>
        <w:rPr>
          <w:i/>
          <w:iCs/>
          <w:lang w:val="en-US"/>
        </w:rPr>
        <w:t xml:space="preserve">A theorem statement </w:t>
      </w:r>
      <w:proofErr w:type="gramStart"/>
      <w:r>
        <w:rPr>
          <w:i/>
          <w:iCs/>
          <w:lang w:val="en-US"/>
        </w:rPr>
        <w:t>is written</w:t>
      </w:r>
      <w:proofErr w:type="gramEnd"/>
      <w:r>
        <w:rPr>
          <w:i/>
          <w:iCs/>
          <w:lang w:val="en-US"/>
        </w:rPr>
        <w:t xml:space="preserve"> in italics, while its heading is accentuated with </w:t>
      </w:r>
      <w:proofErr w:type="spellStart"/>
      <w:r>
        <w:rPr>
          <w:i/>
          <w:iCs/>
          <w:lang w:val="en-US"/>
        </w:rPr>
        <w:t>semibold</w:t>
      </w:r>
      <w:proofErr w:type="spellEnd"/>
      <w:r w:rsidR="00D06437" w:rsidRPr="00880F05">
        <w:rPr>
          <w:lang w:val="en-US"/>
        </w:rPr>
        <w:t>.</w:t>
      </w:r>
    </w:p>
    <w:p w:rsidR="00D06437" w:rsidRPr="00880F05" w:rsidRDefault="003332C8" w:rsidP="008257D2">
      <w:pPr>
        <w:spacing w:before="120" w:after="120"/>
        <w:ind w:firstLine="357"/>
        <w:jc w:val="both"/>
        <w:rPr>
          <w:lang w:val="en-US"/>
        </w:rPr>
      </w:pPr>
      <w:r>
        <w:rPr>
          <w:spacing w:val="20"/>
          <w:lang w:val="en-US"/>
        </w:rPr>
        <w:t>Proof</w:t>
      </w:r>
      <w:r w:rsidR="00D06437" w:rsidRPr="00880F05">
        <w:rPr>
          <w:i/>
          <w:lang w:val="en-US"/>
        </w:rPr>
        <w:t>.</w:t>
      </w:r>
      <w:r w:rsidR="00D06437" w:rsidRPr="00880F05">
        <w:rPr>
          <w:lang w:val="en-US"/>
        </w:rPr>
        <w:t xml:space="preserve"> </w:t>
      </w:r>
      <w:r>
        <w:rPr>
          <w:lang w:val="en-US"/>
        </w:rPr>
        <w:t>The word</w:t>
      </w:r>
      <w:r w:rsidR="00D06437" w:rsidRPr="00880F05">
        <w:rPr>
          <w:lang w:val="en-US"/>
        </w:rPr>
        <w:t xml:space="preserve"> «</w:t>
      </w:r>
      <w:r>
        <w:rPr>
          <w:lang w:val="en-US"/>
        </w:rPr>
        <w:t>Proof</w:t>
      </w:r>
      <w:r w:rsidR="00D06437" w:rsidRPr="00880F05">
        <w:rPr>
          <w:lang w:val="en-US"/>
        </w:rPr>
        <w:t xml:space="preserve">» </w:t>
      </w:r>
      <w:proofErr w:type="gramStart"/>
      <w:r>
        <w:rPr>
          <w:lang w:val="en-US"/>
        </w:rPr>
        <w:t>is written</w:t>
      </w:r>
      <w:proofErr w:type="gramEnd"/>
      <w:r>
        <w:rPr>
          <w:lang w:val="en-US"/>
        </w:rPr>
        <w:t xml:space="preserve"> with the sparse interval</w:t>
      </w:r>
      <w:r w:rsidR="00D06437" w:rsidRPr="00880F05">
        <w:rPr>
          <w:lang w:val="en-US"/>
        </w:rPr>
        <w:t xml:space="preserve">. </w:t>
      </w:r>
      <w:r w:rsidR="009C1E15">
        <w:rPr>
          <w:lang w:val="en-US"/>
        </w:rPr>
        <w:t xml:space="preserve">The text of a proof </w:t>
      </w:r>
      <w:proofErr w:type="gramStart"/>
      <w:r w:rsidR="00F84742">
        <w:rPr>
          <w:lang w:val="en-US"/>
        </w:rPr>
        <w:t>is formatted</w:t>
      </w:r>
      <w:proofErr w:type="gramEnd"/>
      <w:r w:rsidR="00F84742">
        <w:rPr>
          <w:lang w:val="en-US"/>
        </w:rPr>
        <w:t xml:space="preserve"> the same</w:t>
      </w:r>
      <w:r w:rsidR="009C1E15">
        <w:rPr>
          <w:lang w:val="en-US"/>
        </w:rPr>
        <w:t xml:space="preserve"> as the main text</w:t>
      </w:r>
      <w:r w:rsidR="00D06437" w:rsidRPr="00880F05">
        <w:rPr>
          <w:lang w:val="en-US"/>
        </w:rPr>
        <w:t xml:space="preserve">. </w:t>
      </w:r>
    </w:p>
    <w:p w:rsidR="00AB2C0B" w:rsidRPr="00880F05" w:rsidRDefault="0015243D" w:rsidP="0072281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presentation of figures </w:t>
      </w:r>
    </w:p>
    <w:p w:rsidR="00AB2C0B" w:rsidRPr="00880F05" w:rsidRDefault="0015243D" w:rsidP="00E30626">
      <w:pPr>
        <w:ind w:firstLine="357"/>
        <w:jc w:val="both"/>
        <w:rPr>
          <w:lang w:val="en-US"/>
        </w:rPr>
      </w:pPr>
      <w:r>
        <w:rPr>
          <w:lang w:val="en-US"/>
        </w:rPr>
        <w:t>Figure</w:t>
      </w:r>
      <w:r w:rsidR="00AB2C0B" w:rsidRPr="00880F05">
        <w:rPr>
          <w:lang w:val="en-US"/>
        </w:rPr>
        <w:t xml:space="preserve"> (</w:t>
      </w:r>
      <w:r>
        <w:rPr>
          <w:lang w:val="en-US"/>
        </w:rPr>
        <w:t>Fig</w:t>
      </w:r>
      <w:r w:rsidR="00AB2C0B" w:rsidRPr="00880F05">
        <w:rPr>
          <w:lang w:val="en-US"/>
        </w:rPr>
        <w:t xml:space="preserve">. 1) </w:t>
      </w:r>
      <w:proofErr w:type="gramStart"/>
      <w:r>
        <w:rPr>
          <w:lang w:val="en-US"/>
        </w:rPr>
        <w:t>should be presented</w:t>
      </w:r>
      <w:proofErr w:type="gramEnd"/>
      <w:r>
        <w:rPr>
          <w:lang w:val="en-US"/>
        </w:rPr>
        <w:t xml:space="preserve"> as follows</w:t>
      </w:r>
      <w:r w:rsidR="00AB2C0B" w:rsidRPr="00880F05">
        <w:rPr>
          <w:lang w:val="en-US"/>
        </w:rPr>
        <w:t>:</w:t>
      </w:r>
    </w:p>
    <w:p w:rsidR="00AB2C0B" w:rsidRDefault="00AB2C0B" w:rsidP="00AB2C0B">
      <w:pPr>
        <w:ind w:right="-5" w:firstLine="180"/>
        <w:jc w:val="both"/>
        <w:rPr>
          <w:lang w:val="en-US"/>
        </w:rPr>
      </w:pPr>
    </w:p>
    <w:p w:rsidR="00FE0F55" w:rsidRPr="00880F05" w:rsidRDefault="00FE0F55" w:rsidP="00AB2C0B">
      <w:pPr>
        <w:ind w:right="-5" w:firstLine="180"/>
        <w:jc w:val="both"/>
        <w:rPr>
          <w:lang w:val="en-US"/>
        </w:rPr>
      </w:pPr>
    </w:p>
    <w:p w:rsidR="00AB2C0B" w:rsidRPr="00E454B0" w:rsidRDefault="00A02DD8" w:rsidP="00E454B0">
      <w:pPr>
        <w:ind w:right="-5" w:firstLine="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737360" cy="2306320"/>
            <wp:effectExtent l="19050" t="0" r="0" b="0"/>
            <wp:docPr id="3" name="Рисунок 3" descr="escher-asc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her-ascen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4B0">
        <w:rPr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2377440" cy="2286000"/>
            <wp:effectExtent l="19050" t="0" r="3810" b="0"/>
            <wp:docPr id="4" name="Рисунок 4" descr="escher-rel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her-relativ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0B" w:rsidRPr="00880F05" w:rsidRDefault="0015243D" w:rsidP="0015243D">
      <w:pPr>
        <w:tabs>
          <w:tab w:val="center" w:pos="4626"/>
        </w:tabs>
        <w:ind w:left="539" w:right="357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ab/>
        <w:t>a</w:t>
      </w:r>
      <w:r w:rsidR="00E454B0" w:rsidRPr="00880F05">
        <w:rPr>
          <w:bCs/>
          <w:sz w:val="20"/>
          <w:szCs w:val="20"/>
          <w:lang w:val="en-US"/>
        </w:rPr>
        <w:t xml:space="preserve">)                                                   </w:t>
      </w:r>
      <w:proofErr w:type="gramStart"/>
      <w:r>
        <w:rPr>
          <w:bCs/>
          <w:sz w:val="20"/>
          <w:szCs w:val="20"/>
          <w:lang w:val="en-US"/>
        </w:rPr>
        <w:t>b</w:t>
      </w:r>
      <w:proofErr w:type="gramEnd"/>
      <w:r w:rsidR="00E454B0" w:rsidRPr="00880F05">
        <w:rPr>
          <w:bCs/>
          <w:sz w:val="20"/>
          <w:szCs w:val="20"/>
          <w:lang w:val="en-US"/>
        </w:rPr>
        <w:t>)</w:t>
      </w:r>
    </w:p>
    <w:p w:rsidR="00AB2C0B" w:rsidRPr="00880F05" w:rsidRDefault="0015243D" w:rsidP="00E30626">
      <w:pPr>
        <w:ind w:left="284" w:right="284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</w:t>
      </w:r>
      <w:r w:rsidR="00AB2C0B" w:rsidRPr="00880F05">
        <w:rPr>
          <w:b/>
          <w:bCs/>
          <w:sz w:val="20"/>
          <w:szCs w:val="20"/>
          <w:lang w:val="en-US"/>
        </w:rPr>
        <w:t>. 1</w:t>
      </w:r>
      <w:r w:rsidR="00AB2C0B" w:rsidRPr="00880F05">
        <w:rPr>
          <w:sz w:val="20"/>
          <w:szCs w:val="20"/>
          <w:lang w:val="en-US"/>
        </w:rPr>
        <w:t xml:space="preserve">. </w:t>
      </w:r>
      <w:r w:rsidR="004F0068">
        <w:rPr>
          <w:sz w:val="20"/>
          <w:szCs w:val="20"/>
          <w:lang w:val="en-US"/>
        </w:rPr>
        <w:t>M. Escher’s images</w:t>
      </w:r>
      <w:r w:rsidR="00E454B0" w:rsidRPr="00880F05">
        <w:rPr>
          <w:sz w:val="20"/>
          <w:szCs w:val="20"/>
          <w:lang w:val="en-US"/>
        </w:rPr>
        <w:t xml:space="preserve">: </w:t>
      </w:r>
      <w:r w:rsidR="00E454B0">
        <w:rPr>
          <w:sz w:val="20"/>
          <w:szCs w:val="20"/>
        </w:rPr>
        <w:t>а</w:t>
      </w:r>
      <w:r w:rsidR="00E454B0" w:rsidRPr="00880F05">
        <w:rPr>
          <w:sz w:val="20"/>
          <w:szCs w:val="20"/>
          <w:lang w:val="en-US"/>
        </w:rPr>
        <w:t xml:space="preserve">) </w:t>
      </w:r>
      <w:r w:rsidR="00E00048">
        <w:rPr>
          <w:sz w:val="20"/>
          <w:szCs w:val="20"/>
          <w:lang w:val="en-US"/>
        </w:rPr>
        <w:t>Ascending and Descending</w:t>
      </w:r>
      <w:r w:rsidR="00E454B0" w:rsidRPr="00880F05">
        <w:rPr>
          <w:sz w:val="20"/>
          <w:szCs w:val="20"/>
          <w:lang w:val="en-US"/>
        </w:rPr>
        <w:t xml:space="preserve">; </w:t>
      </w:r>
      <w:r w:rsidR="00E00048">
        <w:rPr>
          <w:sz w:val="20"/>
          <w:szCs w:val="20"/>
          <w:lang w:val="en-US"/>
        </w:rPr>
        <w:t>b</w:t>
      </w:r>
      <w:r w:rsidR="00E454B0" w:rsidRPr="00880F05">
        <w:rPr>
          <w:sz w:val="20"/>
          <w:szCs w:val="20"/>
          <w:lang w:val="en-US"/>
        </w:rPr>
        <w:t xml:space="preserve">) </w:t>
      </w:r>
      <w:r w:rsidR="00E00048">
        <w:rPr>
          <w:sz w:val="20"/>
          <w:szCs w:val="20"/>
          <w:lang w:val="en-US"/>
        </w:rPr>
        <w:t>Relativity</w:t>
      </w:r>
      <w:r w:rsidR="00AB2C0B" w:rsidRPr="00880F05">
        <w:rPr>
          <w:sz w:val="20"/>
          <w:szCs w:val="20"/>
          <w:lang w:val="en-US"/>
        </w:rPr>
        <w:t xml:space="preserve">. </w:t>
      </w:r>
      <w:proofErr w:type="gramStart"/>
      <w:r w:rsidR="00BB6E71">
        <w:rPr>
          <w:sz w:val="20"/>
          <w:szCs w:val="20"/>
          <w:lang w:val="en-US"/>
        </w:rPr>
        <w:t>Caption</w:t>
      </w:r>
      <w:r w:rsidR="00F84742">
        <w:rPr>
          <w:sz w:val="20"/>
          <w:szCs w:val="20"/>
          <w:lang w:val="en-US"/>
        </w:rPr>
        <w:t>’s</w:t>
      </w:r>
      <w:proofErr w:type="gramEnd"/>
      <w:r w:rsidR="00E00048">
        <w:rPr>
          <w:sz w:val="20"/>
          <w:szCs w:val="20"/>
          <w:lang w:val="en-US"/>
        </w:rPr>
        <w:t xml:space="preserve"> left and right idents are 0.5 cm</w:t>
      </w:r>
      <w:r w:rsidR="00AB2C0B" w:rsidRPr="00880F05">
        <w:rPr>
          <w:sz w:val="20"/>
          <w:szCs w:val="20"/>
          <w:lang w:val="en-US"/>
        </w:rPr>
        <w:t>.</w:t>
      </w:r>
    </w:p>
    <w:p w:rsidR="00AB2C0B" w:rsidRPr="00880F05" w:rsidRDefault="00AB2C0B" w:rsidP="00AB2C0B">
      <w:pPr>
        <w:ind w:left="540" w:right="355"/>
        <w:jc w:val="both"/>
        <w:rPr>
          <w:lang w:val="en-US"/>
        </w:rPr>
      </w:pPr>
    </w:p>
    <w:p w:rsidR="00AB2C0B" w:rsidRDefault="00E00048" w:rsidP="00E30626">
      <w:pPr>
        <w:ind w:firstLine="357"/>
        <w:jc w:val="both"/>
        <w:rPr>
          <w:lang w:val="en-US"/>
        </w:rPr>
      </w:pPr>
      <w:r>
        <w:rPr>
          <w:lang w:val="en-US"/>
        </w:rPr>
        <w:t xml:space="preserve">The </w:t>
      </w:r>
      <w:r w:rsidR="00DE0798">
        <w:rPr>
          <w:lang w:val="en-US"/>
        </w:rPr>
        <w:t xml:space="preserve">Figure </w:t>
      </w:r>
      <w:r w:rsidR="00004BD2">
        <w:rPr>
          <w:lang w:val="en-US"/>
        </w:rPr>
        <w:t>legends</w:t>
      </w:r>
      <w:r>
        <w:rPr>
          <w:lang w:val="en-US"/>
        </w:rPr>
        <w:t xml:space="preserve"> </w:t>
      </w:r>
      <w:r w:rsidR="00DE0798">
        <w:rPr>
          <w:lang w:val="en-US"/>
        </w:rPr>
        <w:t xml:space="preserve">should be </w:t>
      </w:r>
      <w:r>
        <w:rPr>
          <w:lang w:val="en-US"/>
        </w:rPr>
        <w:t>10</w:t>
      </w:r>
      <w:r w:rsidR="00DE0798">
        <w:rPr>
          <w:lang w:val="en-US"/>
        </w:rPr>
        <w:t>-point</w:t>
      </w:r>
      <w:r w:rsidR="002349B2">
        <w:rPr>
          <w:lang w:val="en-US"/>
        </w:rPr>
        <w:t xml:space="preserve"> </w:t>
      </w:r>
      <w:r w:rsidR="00DE0798">
        <w:rPr>
          <w:lang w:val="en-US"/>
        </w:rPr>
        <w:t xml:space="preserve">font size fully justified </w:t>
      </w:r>
      <w:r w:rsidR="00D8705C">
        <w:rPr>
          <w:lang w:val="en-US"/>
        </w:rPr>
        <w:t>like</w:t>
      </w:r>
      <w:r w:rsidR="00DE0798">
        <w:rPr>
          <w:lang w:val="en-US"/>
        </w:rPr>
        <w:t xml:space="preserve"> at Figs. 1a and 1b</w:t>
      </w:r>
      <w:r w:rsidR="00AB2C0B" w:rsidRPr="00880F05">
        <w:rPr>
          <w:lang w:val="en-US"/>
        </w:rPr>
        <w:t xml:space="preserve">. </w:t>
      </w:r>
    </w:p>
    <w:p w:rsidR="00AB2C0B" w:rsidRPr="00DE0798" w:rsidRDefault="00DE0798" w:rsidP="0072281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presentation of </w:t>
      </w:r>
      <w:r w:rsidR="00152852">
        <w:rPr>
          <w:b/>
          <w:bCs/>
          <w:lang w:val="en-US"/>
        </w:rPr>
        <w:t>t</w:t>
      </w:r>
      <w:r>
        <w:rPr>
          <w:b/>
          <w:bCs/>
          <w:lang w:val="en-US"/>
        </w:rPr>
        <w:t>ables</w:t>
      </w:r>
    </w:p>
    <w:p w:rsidR="00AB2C0B" w:rsidRPr="00880F05" w:rsidRDefault="00DE0798" w:rsidP="00E30626">
      <w:pPr>
        <w:ind w:firstLine="357"/>
        <w:jc w:val="both"/>
        <w:rPr>
          <w:lang w:val="en-US"/>
        </w:rPr>
      </w:pPr>
      <w:r>
        <w:rPr>
          <w:lang w:val="en-US"/>
        </w:rPr>
        <w:t>Tables</w:t>
      </w:r>
      <w:r w:rsidR="00AB2C0B" w:rsidRPr="00880F05">
        <w:rPr>
          <w:lang w:val="en-US"/>
        </w:rPr>
        <w:t xml:space="preserve"> (</w:t>
      </w:r>
      <w:r w:rsidR="00B85A09">
        <w:rPr>
          <w:lang w:val="en-US"/>
        </w:rPr>
        <w:t xml:space="preserve">see </w:t>
      </w:r>
      <w:r>
        <w:rPr>
          <w:lang w:val="en-US"/>
        </w:rPr>
        <w:t>Table</w:t>
      </w:r>
      <w:r w:rsidR="00AB2C0B" w:rsidRPr="00880F05">
        <w:rPr>
          <w:lang w:val="en-US"/>
        </w:rPr>
        <w:t xml:space="preserve"> 1) </w:t>
      </w:r>
      <w:proofErr w:type="gramStart"/>
      <w:r>
        <w:rPr>
          <w:lang w:val="en-US"/>
        </w:rPr>
        <w:t xml:space="preserve">are </w:t>
      </w:r>
      <w:r w:rsidR="00AA22C1">
        <w:rPr>
          <w:lang w:val="en-US"/>
        </w:rPr>
        <w:t>presented</w:t>
      </w:r>
      <w:proofErr w:type="gramEnd"/>
      <w:r w:rsidR="00AA22C1">
        <w:rPr>
          <w:lang w:val="en-US"/>
        </w:rPr>
        <w:t xml:space="preserve"> in the same way, while their headings are </w:t>
      </w:r>
      <w:r w:rsidR="00AB2C0B" w:rsidRPr="00880F05">
        <w:rPr>
          <w:lang w:val="en-US"/>
        </w:rPr>
        <w:t>11</w:t>
      </w:r>
      <w:r w:rsidR="00AA22C1">
        <w:rPr>
          <w:lang w:val="en-US"/>
        </w:rPr>
        <w:t>-point font size</w:t>
      </w:r>
      <w:r w:rsidR="00AB2C0B" w:rsidRPr="00880F05">
        <w:rPr>
          <w:lang w:val="en-US"/>
        </w:rPr>
        <w:t xml:space="preserve">. </w:t>
      </w:r>
      <w:r w:rsidR="00004BD2">
        <w:rPr>
          <w:lang w:val="en-US"/>
        </w:rPr>
        <w:t xml:space="preserve">A table end </w:t>
      </w:r>
      <w:proofErr w:type="gramStart"/>
      <w:r w:rsidR="00004BD2">
        <w:rPr>
          <w:lang w:val="en-US"/>
        </w:rPr>
        <w:t>is separated</w:t>
      </w:r>
      <w:proofErr w:type="gramEnd"/>
      <w:r w:rsidR="00004BD2">
        <w:rPr>
          <w:lang w:val="en-US"/>
        </w:rPr>
        <w:t xml:space="preserve"> from the following text with a blank line</w:t>
      </w:r>
      <w:r w:rsidR="00AB2C0B" w:rsidRPr="00880F05">
        <w:rPr>
          <w:lang w:val="en-US"/>
        </w:rPr>
        <w:t>.</w:t>
      </w:r>
      <w:r w:rsidR="00F23ADF" w:rsidRPr="00880F05">
        <w:rPr>
          <w:lang w:val="en-US"/>
        </w:rPr>
        <w:t xml:space="preserve"> </w:t>
      </w:r>
      <w:r w:rsidR="00004BD2">
        <w:rPr>
          <w:lang w:val="en-US"/>
        </w:rPr>
        <w:t>A heading</w:t>
      </w:r>
      <w:r w:rsidR="00F23ADF" w:rsidRPr="00880F05">
        <w:rPr>
          <w:lang w:val="en-US"/>
        </w:rPr>
        <w:t xml:space="preserve">, </w:t>
      </w:r>
      <w:r w:rsidR="00004BD2">
        <w:rPr>
          <w:lang w:val="en-US"/>
        </w:rPr>
        <w:t>the same as at Table</w:t>
      </w:r>
      <w:r w:rsidR="00F23ADF" w:rsidRPr="00880F05">
        <w:rPr>
          <w:lang w:val="en-US"/>
        </w:rPr>
        <w:t xml:space="preserve"> 1, </w:t>
      </w:r>
      <w:r w:rsidR="00A76D74">
        <w:rPr>
          <w:lang w:val="en-US"/>
        </w:rPr>
        <w:t>should be 11-point font size fully justified</w:t>
      </w:r>
      <w:r w:rsidR="00A76D74" w:rsidRPr="00880F05">
        <w:rPr>
          <w:lang w:val="en-US"/>
        </w:rPr>
        <w:t xml:space="preserve"> </w:t>
      </w:r>
      <w:r w:rsidR="00A76D74">
        <w:rPr>
          <w:lang w:val="en-US"/>
        </w:rPr>
        <w:t xml:space="preserve">with </w:t>
      </w:r>
      <w:r w:rsidR="00A76D74" w:rsidRPr="00880F05">
        <w:rPr>
          <w:lang w:val="en-US"/>
        </w:rPr>
        <w:t>0.5</w:t>
      </w:r>
      <w:r w:rsidR="00A76D74">
        <w:rPr>
          <w:lang w:val="en-US"/>
        </w:rPr>
        <w:t>-cm</w:t>
      </w:r>
      <w:r w:rsidR="00A76D74" w:rsidRPr="00880F05">
        <w:rPr>
          <w:lang w:val="en-US"/>
        </w:rPr>
        <w:t xml:space="preserve"> </w:t>
      </w:r>
      <w:r w:rsidR="00A76D74">
        <w:rPr>
          <w:lang w:val="en-US"/>
        </w:rPr>
        <w:t xml:space="preserve">indents from left and right edges of the main text without </w:t>
      </w:r>
      <w:r w:rsidR="006C1FB7">
        <w:rPr>
          <w:lang w:val="en-US"/>
        </w:rPr>
        <w:t>a full stop at the end</w:t>
      </w:r>
      <w:r w:rsidR="00F23ADF" w:rsidRPr="00880F05">
        <w:rPr>
          <w:lang w:val="en-US"/>
        </w:rPr>
        <w:t xml:space="preserve">. </w:t>
      </w:r>
      <w:r w:rsidR="006C1FB7">
        <w:rPr>
          <w:lang w:val="en-US"/>
        </w:rPr>
        <w:t>Headings</w:t>
      </w:r>
      <w:r w:rsidR="00F23ADF" w:rsidRPr="00880F05">
        <w:rPr>
          <w:lang w:val="en-US"/>
        </w:rPr>
        <w:t xml:space="preserve"> (</w:t>
      </w:r>
      <w:r w:rsidR="006C1FB7">
        <w:rPr>
          <w:lang w:val="en-US"/>
        </w:rPr>
        <w:t>sub-headings</w:t>
      </w:r>
      <w:r w:rsidR="00F23ADF" w:rsidRPr="00880F05">
        <w:rPr>
          <w:lang w:val="en-US"/>
        </w:rPr>
        <w:t xml:space="preserve">) </w:t>
      </w:r>
      <w:r w:rsidR="006C1FB7">
        <w:rPr>
          <w:lang w:val="en-US"/>
        </w:rPr>
        <w:t>of columns should be</w:t>
      </w:r>
      <w:r w:rsidR="00F23ADF" w:rsidRPr="00880F05">
        <w:rPr>
          <w:lang w:val="en-US"/>
        </w:rPr>
        <w:t xml:space="preserve"> </w:t>
      </w:r>
      <w:r w:rsidR="006C1FB7">
        <w:rPr>
          <w:lang w:val="en-US"/>
        </w:rPr>
        <w:t>11-point font size horizontally and vertically centered</w:t>
      </w:r>
      <w:r w:rsidR="00F23ADF" w:rsidRPr="00880F05">
        <w:rPr>
          <w:lang w:val="en-US"/>
        </w:rPr>
        <w:t xml:space="preserve">. </w:t>
      </w:r>
      <w:r w:rsidR="006C1FB7">
        <w:rPr>
          <w:lang w:val="en-US"/>
        </w:rPr>
        <w:t>A table lines should be 10-point font size</w:t>
      </w:r>
      <w:r w:rsidR="00F23ADF" w:rsidRPr="00880F05">
        <w:rPr>
          <w:lang w:val="en-US"/>
        </w:rPr>
        <w:t>.</w:t>
      </w:r>
    </w:p>
    <w:p w:rsidR="00AB2C0B" w:rsidRDefault="00AB2C0B" w:rsidP="00AB2C0B">
      <w:pPr>
        <w:ind w:right="355" w:firstLine="180"/>
        <w:jc w:val="both"/>
        <w:rPr>
          <w:lang w:val="en-US"/>
        </w:rPr>
      </w:pPr>
    </w:p>
    <w:p w:rsidR="00FE0F55" w:rsidRDefault="00FE0F55" w:rsidP="00AB2C0B">
      <w:pPr>
        <w:ind w:right="355" w:firstLine="180"/>
        <w:jc w:val="both"/>
        <w:rPr>
          <w:lang w:val="en-US"/>
        </w:rPr>
      </w:pPr>
    </w:p>
    <w:p w:rsidR="00FE0F55" w:rsidRDefault="00FE0F55" w:rsidP="00AB2C0B">
      <w:pPr>
        <w:ind w:right="355" w:firstLine="180"/>
        <w:jc w:val="both"/>
        <w:rPr>
          <w:lang w:val="en-US"/>
        </w:rPr>
      </w:pPr>
    </w:p>
    <w:p w:rsidR="00FE0F55" w:rsidRDefault="00FE0F55" w:rsidP="00AB2C0B">
      <w:pPr>
        <w:ind w:right="355" w:firstLine="180"/>
        <w:jc w:val="both"/>
        <w:rPr>
          <w:lang w:val="en-US"/>
        </w:rPr>
      </w:pPr>
    </w:p>
    <w:p w:rsidR="00FE0F55" w:rsidRDefault="00FE0F55" w:rsidP="00AB2C0B">
      <w:pPr>
        <w:ind w:right="355" w:firstLine="180"/>
        <w:jc w:val="both"/>
        <w:rPr>
          <w:lang w:val="en-US"/>
        </w:rPr>
      </w:pPr>
    </w:p>
    <w:p w:rsidR="00FE0F55" w:rsidRPr="00880F05" w:rsidRDefault="00FE0F55" w:rsidP="00AB2C0B">
      <w:pPr>
        <w:ind w:right="355" w:firstLine="180"/>
        <w:jc w:val="both"/>
        <w:rPr>
          <w:lang w:val="en-US"/>
        </w:rPr>
      </w:pPr>
    </w:p>
    <w:p w:rsidR="00AB2C0B" w:rsidRPr="00EA71E3" w:rsidRDefault="006C1FB7" w:rsidP="00E30626">
      <w:pPr>
        <w:spacing w:after="120"/>
        <w:ind w:left="284" w:right="284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Table</w:t>
      </w:r>
      <w:r w:rsidR="00AB2C0B" w:rsidRPr="00880F05">
        <w:rPr>
          <w:b/>
          <w:bCs/>
          <w:sz w:val="22"/>
          <w:szCs w:val="22"/>
          <w:lang w:val="en-US"/>
        </w:rPr>
        <w:t xml:space="preserve"> 1.</w:t>
      </w:r>
      <w:r w:rsidR="00F23ADF" w:rsidRPr="00880F05">
        <w:rPr>
          <w:b/>
          <w:bCs/>
          <w:sz w:val="22"/>
          <w:szCs w:val="22"/>
          <w:lang w:val="en-US"/>
        </w:rPr>
        <w:t xml:space="preserve"> </w:t>
      </w:r>
      <w:r w:rsidR="00EA71E3">
        <w:rPr>
          <w:sz w:val="22"/>
          <w:szCs w:val="22"/>
          <w:lang w:val="en-US"/>
        </w:rPr>
        <w:t xml:space="preserve">The Earth cosmic </w:t>
      </w:r>
      <w:r w:rsidR="00152852">
        <w:rPr>
          <w:sz w:val="22"/>
          <w:szCs w:val="22"/>
          <w:lang w:val="en-US"/>
        </w:rPr>
        <w:t>velocities</w:t>
      </w:r>
    </w:p>
    <w:tbl>
      <w:tblPr>
        <w:tblW w:w="7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385"/>
        <w:gridCol w:w="2284"/>
      </w:tblGrid>
      <w:tr w:rsidR="00A63D0B" w:rsidRPr="00406281">
        <w:trPr>
          <w:trHeight w:val="111"/>
          <w:jc w:val="center"/>
        </w:trPr>
        <w:tc>
          <w:tcPr>
            <w:tcW w:w="2511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63D0B" w:rsidRPr="00BB6E71" w:rsidRDefault="00EA71E3" w:rsidP="00EA71E3">
            <w:pPr>
              <w:spacing w:before="120" w:after="120"/>
              <w:ind w:right="-6"/>
              <w:jc w:val="center"/>
              <w:rPr>
                <w:b/>
                <w:sz w:val="22"/>
                <w:szCs w:val="22"/>
                <w:lang w:val="en-US"/>
              </w:rPr>
            </w:pPr>
            <w:r w:rsidRPr="00BB6E71">
              <w:rPr>
                <w:b/>
                <w:color w:val="000000"/>
                <w:sz w:val="22"/>
                <w:szCs w:val="22"/>
                <w:lang w:val="en-US"/>
              </w:rPr>
              <w:t>Height over the Earth</w:t>
            </w:r>
            <w:r w:rsidR="00A63D0B" w:rsidRPr="00BB6E71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E71">
              <w:rPr>
                <w:b/>
                <w:color w:val="000000"/>
                <w:sz w:val="22"/>
                <w:szCs w:val="22"/>
                <w:lang w:val="en-US"/>
              </w:rPr>
              <w:t>km</w:t>
            </w:r>
          </w:p>
        </w:tc>
        <w:tc>
          <w:tcPr>
            <w:tcW w:w="4669" w:type="dxa"/>
            <w:gridSpan w:val="2"/>
            <w:shd w:val="clear" w:color="auto" w:fill="DBE5F1"/>
            <w:vAlign w:val="center"/>
          </w:tcPr>
          <w:p w:rsidR="00A63D0B" w:rsidRPr="00BB6E71" w:rsidRDefault="00152852" w:rsidP="00EA71E3">
            <w:pPr>
              <w:spacing w:before="120" w:after="120"/>
              <w:ind w:right="-6"/>
              <w:jc w:val="center"/>
              <w:rPr>
                <w:b/>
                <w:sz w:val="22"/>
                <w:szCs w:val="22"/>
                <w:lang w:val="en-US"/>
              </w:rPr>
            </w:pPr>
            <w:r w:rsidRPr="00BB6E71">
              <w:rPr>
                <w:b/>
                <w:sz w:val="22"/>
                <w:szCs w:val="22"/>
                <w:lang w:val="en-US"/>
              </w:rPr>
              <w:t>Velocity</w:t>
            </w:r>
            <w:r w:rsidR="00A63D0B" w:rsidRPr="00BB6E71">
              <w:rPr>
                <w:b/>
                <w:sz w:val="22"/>
                <w:szCs w:val="22"/>
              </w:rPr>
              <w:t>,</w:t>
            </w:r>
            <w:r w:rsidR="00F23ADF" w:rsidRPr="00BB6E71">
              <w:rPr>
                <w:b/>
                <w:sz w:val="22"/>
                <w:szCs w:val="22"/>
              </w:rPr>
              <w:t xml:space="preserve"> </w:t>
            </w:r>
            <w:r w:rsidR="00EA71E3" w:rsidRPr="00BB6E71">
              <w:rPr>
                <w:b/>
                <w:sz w:val="22"/>
                <w:szCs w:val="22"/>
                <w:lang w:val="en-US"/>
              </w:rPr>
              <w:t>km</w:t>
            </w:r>
            <w:r w:rsidR="00A63D0B" w:rsidRPr="00BB6E71">
              <w:rPr>
                <w:b/>
                <w:sz w:val="22"/>
                <w:szCs w:val="22"/>
              </w:rPr>
              <w:t>/</w:t>
            </w:r>
            <w:r w:rsidR="00EA71E3" w:rsidRPr="00BB6E71">
              <w:rPr>
                <w:b/>
                <w:sz w:val="22"/>
                <w:szCs w:val="22"/>
                <w:lang w:val="en-US"/>
              </w:rPr>
              <w:t>s</w:t>
            </w:r>
          </w:p>
        </w:tc>
      </w:tr>
      <w:tr w:rsidR="00A63D0B" w:rsidRPr="00406281">
        <w:trPr>
          <w:trHeight w:val="110"/>
          <w:jc w:val="center"/>
        </w:trPr>
        <w:tc>
          <w:tcPr>
            <w:tcW w:w="2511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A63D0B" w:rsidRPr="00BB6E71" w:rsidRDefault="00A63D0B" w:rsidP="00BD0A83">
            <w:pPr>
              <w:spacing w:before="120" w:after="120"/>
              <w:ind w:right="-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BE5F1"/>
            <w:vAlign w:val="center"/>
          </w:tcPr>
          <w:p w:rsidR="00A63D0B" w:rsidRPr="00BB6E71" w:rsidRDefault="00EA71E3" w:rsidP="00152852">
            <w:pPr>
              <w:spacing w:before="120" w:after="120"/>
              <w:ind w:right="-6"/>
              <w:jc w:val="center"/>
              <w:rPr>
                <w:b/>
                <w:sz w:val="22"/>
                <w:szCs w:val="22"/>
              </w:rPr>
            </w:pPr>
            <w:r w:rsidRPr="00BB6E71">
              <w:rPr>
                <w:b/>
                <w:color w:val="000000"/>
                <w:sz w:val="22"/>
                <w:szCs w:val="22"/>
                <w:lang w:val="en-US"/>
              </w:rPr>
              <w:t xml:space="preserve">orbital </w:t>
            </w:r>
            <w:r w:rsidR="00152852" w:rsidRPr="00BB6E71">
              <w:rPr>
                <w:b/>
                <w:color w:val="000000"/>
                <w:sz w:val="22"/>
                <w:szCs w:val="22"/>
                <w:lang w:val="en-US"/>
              </w:rPr>
              <w:t>velocity</w:t>
            </w:r>
          </w:p>
        </w:tc>
        <w:tc>
          <w:tcPr>
            <w:tcW w:w="2284" w:type="dxa"/>
            <w:shd w:val="clear" w:color="auto" w:fill="DBE5F1"/>
            <w:vAlign w:val="center"/>
          </w:tcPr>
          <w:p w:rsidR="00A63D0B" w:rsidRPr="00BB6E71" w:rsidRDefault="00EA71E3" w:rsidP="00EA71E3">
            <w:pPr>
              <w:spacing w:before="120" w:after="120"/>
              <w:ind w:right="-6"/>
              <w:jc w:val="center"/>
              <w:rPr>
                <w:b/>
                <w:sz w:val="22"/>
                <w:szCs w:val="22"/>
              </w:rPr>
            </w:pPr>
            <w:r w:rsidRPr="00BB6E71">
              <w:rPr>
                <w:b/>
                <w:color w:val="000000"/>
                <w:sz w:val="22"/>
                <w:szCs w:val="22"/>
                <w:lang w:val="en-US"/>
              </w:rPr>
              <w:t xml:space="preserve">escape </w:t>
            </w:r>
            <w:r w:rsidR="00152852" w:rsidRPr="00BB6E71">
              <w:rPr>
                <w:b/>
                <w:color w:val="000000"/>
                <w:sz w:val="22"/>
                <w:szCs w:val="22"/>
                <w:lang w:val="en-US"/>
              </w:rPr>
              <w:t>velocity</w:t>
            </w:r>
            <w:r w:rsidRPr="00BB6E71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63D0B" w:rsidRPr="00406281">
        <w:trPr>
          <w:jc w:val="center"/>
        </w:trPr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  10000</w:t>
            </w:r>
          </w:p>
        </w:tc>
        <w:tc>
          <w:tcPr>
            <w:tcW w:w="2385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4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84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6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98</w:t>
            </w:r>
          </w:p>
        </w:tc>
      </w:tr>
      <w:tr w:rsidR="00A63D0B" w:rsidRPr="00FE0F55">
        <w:trPr>
          <w:jc w:val="center"/>
        </w:trPr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  20000</w:t>
            </w:r>
          </w:p>
        </w:tc>
        <w:tc>
          <w:tcPr>
            <w:tcW w:w="2385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3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84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5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63D0B" w:rsidRPr="00FE0F55">
        <w:trPr>
          <w:jc w:val="center"/>
        </w:trPr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  50000</w:t>
            </w:r>
          </w:p>
        </w:tc>
        <w:tc>
          <w:tcPr>
            <w:tcW w:w="2385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2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84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3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76</w:t>
            </w:r>
          </w:p>
        </w:tc>
      </w:tr>
      <w:tr w:rsidR="00A63D0B" w:rsidRPr="00FE0F55">
        <w:trPr>
          <w:jc w:val="center"/>
        </w:trPr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385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1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84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2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63D0B" w:rsidRPr="00FE0F55">
        <w:trPr>
          <w:jc w:val="center"/>
        </w:trPr>
        <w:tc>
          <w:tcPr>
            <w:tcW w:w="2511" w:type="dxa"/>
            <w:tcBorders>
              <w:left w:val="single" w:sz="4" w:space="0" w:color="auto"/>
            </w:tcBorders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  930000*</w:t>
            </w:r>
          </w:p>
        </w:tc>
        <w:tc>
          <w:tcPr>
            <w:tcW w:w="2385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0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84" w:type="dxa"/>
            <w:vAlign w:val="center"/>
          </w:tcPr>
          <w:p w:rsidR="00A63D0B" w:rsidRPr="00F23ADF" w:rsidRDefault="00A63D0B" w:rsidP="00FE0F55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23ADF">
              <w:rPr>
                <w:color w:val="000000"/>
                <w:sz w:val="20"/>
                <w:szCs w:val="20"/>
              </w:rPr>
              <w:t>0</w:t>
            </w:r>
            <w:r w:rsidR="00F23ADF">
              <w:rPr>
                <w:color w:val="000000"/>
                <w:sz w:val="20"/>
                <w:szCs w:val="20"/>
              </w:rPr>
              <w:t>.</w:t>
            </w:r>
            <w:r w:rsidRPr="00F23ADF">
              <w:rPr>
                <w:color w:val="000000"/>
                <w:sz w:val="20"/>
                <w:szCs w:val="20"/>
              </w:rPr>
              <w:t>93</w:t>
            </w:r>
          </w:p>
        </w:tc>
      </w:tr>
    </w:tbl>
    <w:p w:rsidR="00AB2C0B" w:rsidRPr="00880F05" w:rsidRDefault="00A63D0B" w:rsidP="00FE0F55">
      <w:pPr>
        <w:spacing w:before="120" w:after="60"/>
        <w:ind w:right="284" w:firstLine="992"/>
        <w:rPr>
          <w:color w:val="000000"/>
          <w:sz w:val="20"/>
          <w:szCs w:val="20"/>
          <w:lang w:val="en-US"/>
        </w:rPr>
      </w:pPr>
      <w:r w:rsidRPr="00880F05">
        <w:rPr>
          <w:color w:val="000000"/>
          <w:sz w:val="20"/>
          <w:szCs w:val="20"/>
          <w:lang w:val="en-US"/>
        </w:rPr>
        <w:t>*</w:t>
      </w:r>
      <w:r w:rsidR="00D8705C">
        <w:rPr>
          <w:color w:val="000000"/>
          <w:sz w:val="20"/>
          <w:szCs w:val="20"/>
          <w:lang w:val="en-US"/>
        </w:rPr>
        <w:t>A</w:t>
      </w:r>
      <w:r w:rsidR="00EA71E3">
        <w:rPr>
          <w:color w:val="000000"/>
          <w:sz w:val="20"/>
          <w:szCs w:val="20"/>
          <w:lang w:val="en-US"/>
        </w:rPr>
        <w:t xml:space="preserve"> height determines </w:t>
      </w:r>
      <w:r w:rsidR="00D8705C">
        <w:rPr>
          <w:color w:val="000000"/>
          <w:sz w:val="20"/>
          <w:szCs w:val="20"/>
          <w:lang w:val="en-US"/>
        </w:rPr>
        <w:t>a</w:t>
      </w:r>
      <w:r w:rsidR="00EA71E3">
        <w:rPr>
          <w:color w:val="000000"/>
          <w:sz w:val="20"/>
          <w:szCs w:val="20"/>
          <w:lang w:val="en-US"/>
        </w:rPr>
        <w:t xml:space="preserve"> </w:t>
      </w:r>
      <w:r w:rsidR="00DA0F55">
        <w:rPr>
          <w:color w:val="000000"/>
          <w:sz w:val="20"/>
          <w:szCs w:val="20"/>
          <w:lang w:val="en-US"/>
        </w:rPr>
        <w:t>boundary of the near-Earth-space environment</w:t>
      </w:r>
      <w:r w:rsidRPr="00880F05">
        <w:rPr>
          <w:color w:val="000000"/>
          <w:sz w:val="20"/>
          <w:szCs w:val="20"/>
          <w:lang w:val="en-US"/>
        </w:rPr>
        <w:t>.</w:t>
      </w:r>
    </w:p>
    <w:p w:rsidR="00A63D0B" w:rsidRPr="00880F05" w:rsidRDefault="00DA0F55" w:rsidP="00FE0F55">
      <w:pPr>
        <w:ind w:right="284" w:firstLine="99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Footnotes</w:t>
      </w:r>
      <w:r w:rsidR="00A63D0B" w:rsidRPr="00880F05">
        <w:rPr>
          <w:color w:val="000000"/>
          <w:sz w:val="20"/>
          <w:szCs w:val="20"/>
          <w:lang w:val="en-US"/>
        </w:rPr>
        <w:t xml:space="preserve">: 1. </w:t>
      </w:r>
      <w:proofErr w:type="gramStart"/>
      <w:r w:rsidR="00152852">
        <w:rPr>
          <w:color w:val="000000"/>
          <w:sz w:val="20"/>
          <w:szCs w:val="20"/>
          <w:lang w:val="en-US"/>
        </w:rPr>
        <w:t>Cosmic</w:t>
      </w:r>
      <w:proofErr w:type="gramEnd"/>
      <w:r w:rsidR="00152852">
        <w:rPr>
          <w:color w:val="000000"/>
          <w:sz w:val="20"/>
          <w:szCs w:val="20"/>
          <w:lang w:val="en-US"/>
        </w:rPr>
        <w:t xml:space="preserve"> </w:t>
      </w:r>
      <w:r w:rsidR="00152852" w:rsidRPr="00152852">
        <w:rPr>
          <w:color w:val="000000"/>
          <w:sz w:val="20"/>
          <w:szCs w:val="20"/>
          <w:lang w:val="en-US"/>
        </w:rPr>
        <w:t>velocities</w:t>
      </w:r>
      <w:r w:rsidR="00152852">
        <w:rPr>
          <w:color w:val="000000"/>
          <w:sz w:val="20"/>
          <w:szCs w:val="20"/>
          <w:lang w:val="en-US"/>
        </w:rPr>
        <w:t xml:space="preserve"> in the absence of atmosphere</w:t>
      </w:r>
      <w:r w:rsidR="00A63D0B" w:rsidRPr="00880F05">
        <w:rPr>
          <w:color w:val="000000"/>
          <w:sz w:val="20"/>
          <w:szCs w:val="20"/>
          <w:lang w:val="en-US"/>
        </w:rPr>
        <w:t>.</w:t>
      </w:r>
    </w:p>
    <w:p w:rsidR="00A63D0B" w:rsidRPr="00880F05" w:rsidRDefault="00BB6E71" w:rsidP="00FE0F55">
      <w:pPr>
        <w:ind w:left="709" w:right="284" w:firstLine="992"/>
        <w:rPr>
          <w:color w:val="000000"/>
          <w:sz w:val="20"/>
          <w:szCs w:val="20"/>
          <w:lang w:val="en-US"/>
        </w:rPr>
      </w:pPr>
      <w:r w:rsidRPr="00BB6E71">
        <w:rPr>
          <w:color w:val="000000"/>
          <w:sz w:val="20"/>
          <w:szCs w:val="20"/>
          <w:lang w:val="en-US"/>
        </w:rPr>
        <w:t xml:space="preserve">    </w:t>
      </w:r>
      <w:r w:rsidR="00F23ADF" w:rsidRPr="00880F05">
        <w:rPr>
          <w:color w:val="000000"/>
          <w:sz w:val="20"/>
          <w:szCs w:val="20"/>
          <w:lang w:val="en-US"/>
        </w:rPr>
        <w:t xml:space="preserve">2. </w:t>
      </w:r>
      <w:r w:rsidR="00152852">
        <w:rPr>
          <w:color w:val="000000"/>
          <w:sz w:val="20"/>
          <w:szCs w:val="20"/>
          <w:lang w:val="en-US"/>
        </w:rPr>
        <w:t xml:space="preserve">Solar escape velocity is </w:t>
      </w:r>
      <w:r w:rsidR="00F23ADF" w:rsidRPr="00880F05">
        <w:rPr>
          <w:color w:val="000000"/>
          <w:sz w:val="20"/>
          <w:szCs w:val="20"/>
          <w:lang w:val="en-US"/>
        </w:rPr>
        <w:t xml:space="preserve">16.67 </w:t>
      </w:r>
      <w:r w:rsidR="00152852">
        <w:rPr>
          <w:color w:val="000000"/>
          <w:sz w:val="20"/>
          <w:szCs w:val="20"/>
          <w:lang w:val="en-US"/>
        </w:rPr>
        <w:t>km</w:t>
      </w:r>
      <w:r w:rsidR="00F23ADF" w:rsidRPr="00880F05">
        <w:rPr>
          <w:color w:val="000000"/>
          <w:sz w:val="20"/>
          <w:szCs w:val="20"/>
          <w:lang w:val="en-US"/>
        </w:rPr>
        <w:t>/</w:t>
      </w:r>
      <w:r w:rsidR="00152852" w:rsidRPr="00880F05">
        <w:rPr>
          <w:color w:val="000000"/>
          <w:sz w:val="20"/>
          <w:szCs w:val="20"/>
          <w:lang w:val="en-US"/>
        </w:rPr>
        <w:t>s</w:t>
      </w:r>
      <w:r w:rsidR="00F23ADF" w:rsidRPr="00880F05">
        <w:rPr>
          <w:color w:val="000000"/>
          <w:sz w:val="20"/>
          <w:szCs w:val="20"/>
          <w:lang w:val="en-US"/>
        </w:rPr>
        <w:t>.</w:t>
      </w:r>
    </w:p>
    <w:p w:rsidR="00AB2C0B" w:rsidRPr="00880F05" w:rsidRDefault="00AB2C0B" w:rsidP="00E30626">
      <w:pPr>
        <w:ind w:firstLine="357"/>
        <w:jc w:val="both"/>
        <w:rPr>
          <w:lang w:val="en-US"/>
        </w:rPr>
      </w:pPr>
    </w:p>
    <w:p w:rsidR="00AB2C0B" w:rsidRPr="00880F05" w:rsidRDefault="00435ADF" w:rsidP="0072281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presentation of headings </w:t>
      </w:r>
    </w:p>
    <w:p w:rsidR="00AB2C0B" w:rsidRPr="00880F05" w:rsidRDefault="00F126BD" w:rsidP="00E30626">
      <w:pPr>
        <w:ind w:firstLine="357"/>
        <w:jc w:val="both"/>
        <w:rPr>
          <w:lang w:val="en-US"/>
        </w:rPr>
      </w:pPr>
      <w:r>
        <w:rPr>
          <w:lang w:val="en-US"/>
        </w:rPr>
        <w:t xml:space="preserve">Headings </w:t>
      </w:r>
      <w:proofErr w:type="gramStart"/>
      <w:r>
        <w:rPr>
          <w:lang w:val="en-US"/>
        </w:rPr>
        <w:t xml:space="preserve">are </w:t>
      </w:r>
      <w:r w:rsidR="00D8705C">
        <w:rPr>
          <w:lang w:val="en-US"/>
        </w:rPr>
        <w:t>typed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semibold</w:t>
      </w:r>
      <w:proofErr w:type="spellEnd"/>
      <w:r>
        <w:rPr>
          <w:lang w:val="en-US"/>
        </w:rPr>
        <w:t xml:space="preserve"> </w:t>
      </w:r>
      <w:r w:rsidR="0045601C">
        <w:rPr>
          <w:lang w:val="en-US"/>
        </w:rPr>
        <w:t>upper-case letters</w:t>
      </w:r>
      <w:r>
        <w:rPr>
          <w:lang w:val="en-US"/>
        </w:rPr>
        <w:t xml:space="preserve"> </w:t>
      </w:r>
      <w:r w:rsidR="00D8705C">
        <w:rPr>
          <w:lang w:val="en-US"/>
        </w:rPr>
        <w:t xml:space="preserve">and arranged </w:t>
      </w:r>
      <w:r>
        <w:rPr>
          <w:lang w:val="en-US"/>
        </w:rPr>
        <w:t>in</w:t>
      </w:r>
      <w:r w:rsidR="00D8705C">
        <w:rPr>
          <w:lang w:val="en-US"/>
        </w:rPr>
        <w:t>to</w:t>
      </w:r>
      <w:r>
        <w:rPr>
          <w:lang w:val="en-US"/>
        </w:rPr>
        <w:t xml:space="preserve"> a paragraph with central justification</w:t>
      </w:r>
      <w:proofErr w:type="gramEnd"/>
      <w:r>
        <w:rPr>
          <w:lang w:val="en-US"/>
        </w:rPr>
        <w:t xml:space="preserve">. The paragraph </w:t>
      </w:r>
      <w:proofErr w:type="gramStart"/>
      <w:r>
        <w:rPr>
          <w:lang w:val="en-US"/>
        </w:rPr>
        <w:t>is separated</w:t>
      </w:r>
      <w:proofErr w:type="gramEnd"/>
      <w:r>
        <w:rPr>
          <w:lang w:val="en-US"/>
        </w:rPr>
        <w:t xml:space="preserve"> by </w:t>
      </w:r>
      <w:r w:rsidR="00D8705C" w:rsidRPr="00880F05">
        <w:rPr>
          <w:lang w:val="en-US"/>
        </w:rPr>
        <w:t>12-</w:t>
      </w:r>
      <w:r w:rsidR="00AB2C0B">
        <w:rPr>
          <w:lang w:val="en-US"/>
        </w:rPr>
        <w:t>pt</w:t>
      </w:r>
      <w:r w:rsidR="00AB2C0B" w:rsidRPr="00880F05">
        <w:rPr>
          <w:lang w:val="en-US"/>
        </w:rPr>
        <w:t xml:space="preserve"> </w:t>
      </w:r>
      <w:r>
        <w:rPr>
          <w:lang w:val="en-US"/>
        </w:rPr>
        <w:t xml:space="preserve">above </w:t>
      </w:r>
      <w:r w:rsidR="0045601C">
        <w:rPr>
          <w:lang w:val="en-US"/>
        </w:rPr>
        <w:t xml:space="preserve">and </w:t>
      </w:r>
      <w:r w:rsidR="0045601C" w:rsidRPr="00880F05">
        <w:rPr>
          <w:lang w:val="en-US"/>
        </w:rPr>
        <w:t>6</w:t>
      </w:r>
      <w:r w:rsidR="00D8705C">
        <w:rPr>
          <w:lang w:val="en-US"/>
        </w:rPr>
        <w:t>-</w:t>
      </w:r>
      <w:r w:rsidR="0045601C">
        <w:rPr>
          <w:lang w:val="en-US"/>
        </w:rPr>
        <w:t>pt</w:t>
      </w:r>
      <w:r w:rsidR="0045601C" w:rsidRPr="00880F05">
        <w:rPr>
          <w:lang w:val="en-US"/>
        </w:rPr>
        <w:t xml:space="preserve"> </w:t>
      </w:r>
      <w:r w:rsidR="0045601C">
        <w:rPr>
          <w:lang w:val="en-US"/>
        </w:rPr>
        <w:t>below</w:t>
      </w:r>
      <w:r w:rsidR="00D8705C" w:rsidRPr="00D8705C">
        <w:rPr>
          <w:lang w:val="en-US"/>
        </w:rPr>
        <w:t xml:space="preserve"> </w:t>
      </w:r>
      <w:proofErr w:type="spellStart"/>
      <w:r w:rsidR="00D8705C">
        <w:rPr>
          <w:lang w:val="en-US"/>
        </w:rPr>
        <w:t>spacings</w:t>
      </w:r>
      <w:proofErr w:type="spellEnd"/>
      <w:r w:rsidR="0045601C">
        <w:rPr>
          <w:lang w:val="en-US"/>
        </w:rPr>
        <w:t>.</w:t>
      </w:r>
      <w:r>
        <w:rPr>
          <w:lang w:val="en-US"/>
        </w:rPr>
        <w:t xml:space="preserve"> </w:t>
      </w:r>
      <w:r w:rsidR="0045601C">
        <w:rPr>
          <w:lang w:val="en-US"/>
        </w:rPr>
        <w:t xml:space="preserve">A heading number, if necessary, is separated with a </w:t>
      </w:r>
      <w:proofErr w:type="gramStart"/>
      <w:r w:rsidR="00D8705C">
        <w:rPr>
          <w:lang w:val="en-US"/>
        </w:rPr>
        <w:t>full-stop</w:t>
      </w:r>
      <w:proofErr w:type="gramEnd"/>
      <w:r w:rsidR="0045601C">
        <w:rPr>
          <w:lang w:val="en-US"/>
        </w:rPr>
        <w:t xml:space="preserve">. A heading end is not followed with a </w:t>
      </w:r>
      <w:proofErr w:type="gramStart"/>
      <w:r w:rsidR="00D8705C">
        <w:rPr>
          <w:lang w:val="en-US"/>
        </w:rPr>
        <w:t>full-stop</w:t>
      </w:r>
      <w:proofErr w:type="gramEnd"/>
      <w:r w:rsidR="00AB2C0B" w:rsidRPr="00880F05">
        <w:rPr>
          <w:lang w:val="en-US"/>
        </w:rPr>
        <w:t>.</w:t>
      </w:r>
    </w:p>
    <w:p w:rsidR="00722817" w:rsidRPr="00880F05" w:rsidRDefault="0045601C" w:rsidP="00722817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presentation of su</w:t>
      </w:r>
      <w:r w:rsidR="00D8705C">
        <w:rPr>
          <w:b/>
          <w:bCs/>
          <w:lang w:val="en-US"/>
        </w:rPr>
        <w:t>b</w:t>
      </w:r>
      <w:r>
        <w:rPr>
          <w:b/>
          <w:bCs/>
          <w:lang w:val="en-US"/>
        </w:rPr>
        <w:t>headings</w:t>
      </w:r>
      <w:r w:rsidRPr="00880F05">
        <w:rPr>
          <w:b/>
          <w:bCs/>
          <w:lang w:val="en-US"/>
        </w:rPr>
        <w:t xml:space="preserve"> </w:t>
      </w:r>
    </w:p>
    <w:p w:rsidR="00722817" w:rsidRPr="00880F05" w:rsidRDefault="0045601C" w:rsidP="00E30626">
      <w:pPr>
        <w:ind w:firstLine="357"/>
        <w:jc w:val="both"/>
        <w:rPr>
          <w:lang w:val="en-US"/>
        </w:rPr>
      </w:pPr>
      <w:r>
        <w:rPr>
          <w:lang w:val="en-US"/>
        </w:rPr>
        <w:t xml:space="preserve">Subheadings </w:t>
      </w:r>
      <w:proofErr w:type="gramStart"/>
      <w:r>
        <w:rPr>
          <w:lang w:val="en-US"/>
        </w:rPr>
        <w:t xml:space="preserve">are </w:t>
      </w:r>
      <w:r w:rsidR="00D8705C">
        <w:rPr>
          <w:lang w:val="en-US"/>
        </w:rPr>
        <w:t>typed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semibold</w:t>
      </w:r>
      <w:proofErr w:type="spellEnd"/>
      <w:r>
        <w:rPr>
          <w:lang w:val="en-US"/>
        </w:rPr>
        <w:t xml:space="preserve"> lower-case letters </w:t>
      </w:r>
      <w:r w:rsidR="00D8705C">
        <w:rPr>
          <w:lang w:val="en-US"/>
        </w:rPr>
        <w:t xml:space="preserve">and arranged into </w:t>
      </w:r>
      <w:r>
        <w:rPr>
          <w:lang w:val="en-US"/>
        </w:rPr>
        <w:t>a paragraph with left justification</w:t>
      </w:r>
      <w:proofErr w:type="gramEnd"/>
      <w:r>
        <w:rPr>
          <w:lang w:val="en-US"/>
        </w:rPr>
        <w:t xml:space="preserve">. The paragraph </w:t>
      </w:r>
      <w:proofErr w:type="gramStart"/>
      <w:r>
        <w:rPr>
          <w:lang w:val="en-US"/>
        </w:rPr>
        <w:t>is separated</w:t>
      </w:r>
      <w:proofErr w:type="gramEnd"/>
      <w:r>
        <w:rPr>
          <w:lang w:val="en-US"/>
        </w:rPr>
        <w:t xml:space="preserve"> by </w:t>
      </w:r>
      <w:smartTag w:uri="urn:schemas-microsoft-com:office:smarttags" w:element="metricconverter">
        <w:smartTagPr>
          <w:attr w:name="ProductID" w:val="12 pt"/>
        </w:smartTagPr>
        <w:r w:rsidRPr="00880F05">
          <w:rPr>
            <w:lang w:val="en-US"/>
          </w:rPr>
          <w:t xml:space="preserve">12 </w:t>
        </w:r>
        <w:proofErr w:type="spellStart"/>
        <w:r>
          <w:rPr>
            <w:lang w:val="en-US"/>
          </w:rPr>
          <w:t>pt</w:t>
        </w:r>
      </w:smartTag>
      <w:proofErr w:type="spellEnd"/>
      <w:r w:rsidRPr="00880F05">
        <w:rPr>
          <w:lang w:val="en-US"/>
        </w:rPr>
        <w:t xml:space="preserve"> </w:t>
      </w:r>
      <w:r>
        <w:rPr>
          <w:lang w:val="en-US"/>
        </w:rPr>
        <w:t xml:space="preserve">above and </w:t>
      </w:r>
      <w:smartTag w:uri="urn:schemas-microsoft-com:office:smarttags" w:element="metricconverter">
        <w:smartTagPr>
          <w:attr w:name="ProductID" w:val="6 pt"/>
        </w:smartTagPr>
        <w:r w:rsidRPr="00880F05">
          <w:rPr>
            <w:lang w:val="en-US"/>
          </w:rPr>
          <w:t xml:space="preserve">6 </w:t>
        </w:r>
        <w:proofErr w:type="spellStart"/>
        <w:r>
          <w:rPr>
            <w:lang w:val="en-US"/>
          </w:rPr>
          <w:t>pt</w:t>
        </w:r>
      </w:smartTag>
      <w:proofErr w:type="spellEnd"/>
      <w:r w:rsidRPr="00880F05">
        <w:rPr>
          <w:lang w:val="en-US"/>
        </w:rPr>
        <w:t xml:space="preserve"> </w:t>
      </w:r>
      <w:r>
        <w:rPr>
          <w:lang w:val="en-US"/>
        </w:rPr>
        <w:t xml:space="preserve">below </w:t>
      </w:r>
      <w:proofErr w:type="spellStart"/>
      <w:r w:rsidR="00D8705C">
        <w:rPr>
          <w:lang w:val="en-US"/>
        </w:rPr>
        <w:t>spacings</w:t>
      </w:r>
      <w:proofErr w:type="spellEnd"/>
      <w:r>
        <w:rPr>
          <w:lang w:val="en-US"/>
        </w:rPr>
        <w:t xml:space="preserve">. A subheading number, if necessary, is separated with a </w:t>
      </w:r>
      <w:proofErr w:type="gramStart"/>
      <w:r w:rsidR="00D8705C">
        <w:rPr>
          <w:lang w:val="en-US"/>
        </w:rPr>
        <w:t>full-stop</w:t>
      </w:r>
      <w:proofErr w:type="gramEnd"/>
      <w:r>
        <w:rPr>
          <w:lang w:val="en-US"/>
        </w:rPr>
        <w:t xml:space="preserve">. A subheading end is not followed with a </w:t>
      </w:r>
      <w:proofErr w:type="gramStart"/>
      <w:r w:rsidR="00D8705C">
        <w:rPr>
          <w:lang w:val="en-US"/>
        </w:rPr>
        <w:t>full-stop</w:t>
      </w:r>
      <w:proofErr w:type="gramEnd"/>
      <w:r w:rsidRPr="00880F05">
        <w:rPr>
          <w:lang w:val="en-US"/>
        </w:rPr>
        <w:t>.</w:t>
      </w:r>
      <w:r>
        <w:rPr>
          <w:lang w:val="en-US"/>
        </w:rPr>
        <w:t xml:space="preserve"> </w:t>
      </w:r>
    </w:p>
    <w:p w:rsidR="009D63FE" w:rsidRPr="00880F05" w:rsidRDefault="009D63FE" w:rsidP="009D63FE">
      <w:pPr>
        <w:spacing w:before="240"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On </w:t>
      </w:r>
      <w:r w:rsidR="00D8705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presentation of references and reference list</w:t>
      </w:r>
    </w:p>
    <w:p w:rsidR="00D73733" w:rsidRDefault="00D73733" w:rsidP="00D73733">
      <w:pPr>
        <w:ind w:firstLine="357"/>
        <w:jc w:val="both"/>
        <w:rPr>
          <w:lang w:val="en-US"/>
        </w:rPr>
      </w:pPr>
      <w:r w:rsidRPr="00D73733">
        <w:rPr>
          <w:lang w:val="en-US"/>
        </w:rPr>
        <w:t>Where applicable, author(s) name(s), journal title/book title, chapter title/article title, year of publication, volume number/book chapter and the article</w:t>
      </w:r>
      <w:r>
        <w:rPr>
          <w:lang w:val="en-US"/>
        </w:rPr>
        <w:t xml:space="preserve"> </w:t>
      </w:r>
      <w:r w:rsidRPr="00D73733">
        <w:rPr>
          <w:lang w:val="en-US"/>
        </w:rPr>
        <w:t>number or pagination must be present. Use of DOI is highly encouraged.</w:t>
      </w:r>
    </w:p>
    <w:p w:rsidR="001B559B" w:rsidRPr="00346505" w:rsidRDefault="001B559B" w:rsidP="00D73733">
      <w:pPr>
        <w:ind w:firstLine="357"/>
        <w:jc w:val="both"/>
        <w:rPr>
          <w:lang w:val="en-US"/>
        </w:rPr>
      </w:pPr>
      <w:r w:rsidRPr="00D73733">
        <w:rPr>
          <w:lang w:val="en-US"/>
        </w:rPr>
        <w:t xml:space="preserve">The following section (REFERENCES) gives some examples of </w:t>
      </w:r>
      <w:r w:rsidR="00D51789">
        <w:rPr>
          <w:lang w:val="en-US"/>
        </w:rPr>
        <w:t xml:space="preserve">correct </w:t>
      </w:r>
      <w:r w:rsidRPr="00D73733">
        <w:rPr>
          <w:lang w:val="en-US"/>
        </w:rPr>
        <w:t xml:space="preserve">citing. </w:t>
      </w:r>
      <w:r w:rsidR="00D73733">
        <w:rPr>
          <w:lang w:val="en-US"/>
        </w:rPr>
        <w:t>In the text,</w:t>
      </w:r>
      <w:r w:rsidRPr="00D73733">
        <w:rPr>
          <w:lang w:val="en-US"/>
        </w:rPr>
        <w:t xml:space="preserve"> the reference goes in square brackets. Reference</w:t>
      </w:r>
      <w:r w:rsidR="00D73733">
        <w:rPr>
          <w:lang w:val="en-US"/>
        </w:rPr>
        <w:t>s</w:t>
      </w:r>
      <w:r w:rsidRPr="00D73733">
        <w:rPr>
          <w:lang w:val="en-US"/>
        </w:rPr>
        <w:t xml:space="preserve"> </w:t>
      </w:r>
      <w:proofErr w:type="gramStart"/>
      <w:r w:rsidRPr="00D73733">
        <w:rPr>
          <w:lang w:val="en-US"/>
        </w:rPr>
        <w:t xml:space="preserve">should </w:t>
      </w:r>
      <w:r w:rsidR="00D73733">
        <w:rPr>
          <w:lang w:val="en-US"/>
        </w:rPr>
        <w:t>be numbered</w:t>
      </w:r>
      <w:proofErr w:type="gramEnd"/>
      <w:r w:rsidRPr="00D73733">
        <w:rPr>
          <w:lang w:val="en-US"/>
        </w:rPr>
        <w:t xml:space="preserve"> in the order of their appearance in the article. </w:t>
      </w:r>
      <w:r w:rsidRPr="00346505">
        <w:rPr>
          <w:lang w:val="en-US"/>
        </w:rPr>
        <w:t xml:space="preserve">The first two references [1, 2] are an example of references to journal </w:t>
      </w:r>
      <w:r w:rsidR="00346505">
        <w:rPr>
          <w:lang w:val="en-US"/>
        </w:rPr>
        <w:t>publi</w:t>
      </w:r>
      <w:r w:rsidR="00D73733">
        <w:rPr>
          <w:lang w:val="en-US"/>
        </w:rPr>
        <w:t>c</w:t>
      </w:r>
      <w:r w:rsidR="00346505">
        <w:rPr>
          <w:lang w:val="en-US"/>
        </w:rPr>
        <w:t>ations</w:t>
      </w:r>
      <w:r w:rsidR="00076B25">
        <w:rPr>
          <w:lang w:val="en-US"/>
        </w:rPr>
        <w:t xml:space="preserve">. </w:t>
      </w:r>
      <w:r w:rsidR="00076B25">
        <w:rPr>
          <w:lang w:val="en-US"/>
        </w:rPr>
        <w:t>The second item [2] exemplify the reference to a journal publication with article number</w:t>
      </w:r>
      <w:r w:rsidR="00076B25">
        <w:rPr>
          <w:lang w:val="en-US"/>
        </w:rPr>
        <w:t>,</w:t>
      </w:r>
      <w:r w:rsidRPr="00346505">
        <w:rPr>
          <w:lang w:val="en-US"/>
        </w:rPr>
        <w:t xml:space="preserve"> the third [3] </w:t>
      </w:r>
      <w:r w:rsidR="00076B25">
        <w:rPr>
          <w:lang w:val="en-US"/>
        </w:rPr>
        <w:t xml:space="preserve">– </w:t>
      </w:r>
      <w:r w:rsidRPr="00346505">
        <w:rPr>
          <w:lang w:val="en-US"/>
        </w:rPr>
        <w:t xml:space="preserve">to a </w:t>
      </w:r>
      <w:r w:rsidR="00076B25">
        <w:rPr>
          <w:lang w:val="en-US"/>
        </w:rPr>
        <w:t>chapter</w:t>
      </w:r>
      <w:r w:rsidRPr="00346505">
        <w:rPr>
          <w:lang w:val="en-US"/>
        </w:rPr>
        <w:t xml:space="preserve"> in </w:t>
      </w:r>
      <w:r w:rsidR="00076B25">
        <w:rPr>
          <w:lang w:val="en-US"/>
        </w:rPr>
        <w:t>a book</w:t>
      </w:r>
      <w:r w:rsidRPr="00346505">
        <w:rPr>
          <w:lang w:val="en-US"/>
        </w:rPr>
        <w:t>, the next three [4–6] to entire books</w:t>
      </w:r>
      <w:r w:rsidR="00076B25">
        <w:rPr>
          <w:lang w:val="en-US"/>
        </w:rPr>
        <w:t>. T</w:t>
      </w:r>
      <w:r w:rsidRPr="00346505">
        <w:rPr>
          <w:lang w:val="en-US"/>
        </w:rPr>
        <w:t xml:space="preserve">he </w:t>
      </w:r>
      <w:r w:rsidR="00076B25">
        <w:rPr>
          <w:lang w:val="en-US"/>
        </w:rPr>
        <w:t>item</w:t>
      </w:r>
      <w:r w:rsidRPr="00346505">
        <w:rPr>
          <w:lang w:val="en-US"/>
        </w:rPr>
        <w:t xml:space="preserve"> [7] </w:t>
      </w:r>
      <w:r w:rsidR="00076B25">
        <w:rPr>
          <w:lang w:val="en-US"/>
        </w:rPr>
        <w:t xml:space="preserve">is an example of reference </w:t>
      </w:r>
      <w:r w:rsidRPr="00346505">
        <w:rPr>
          <w:lang w:val="en-US"/>
        </w:rPr>
        <w:t>to a</w:t>
      </w:r>
      <w:r w:rsidR="00076B25">
        <w:rPr>
          <w:lang w:val="en-US"/>
        </w:rPr>
        <w:t xml:space="preserve"> web-site</w:t>
      </w:r>
      <w:r w:rsidRPr="00346505">
        <w:rPr>
          <w:lang w:val="en-US"/>
        </w:rPr>
        <w:t>.</w:t>
      </w:r>
      <w:r w:rsidR="00076B25">
        <w:rPr>
          <w:lang w:val="en-US"/>
        </w:rPr>
        <w:t>, [8] – r</w:t>
      </w:r>
      <w:r w:rsidR="00076B25" w:rsidRPr="002D7D9A">
        <w:rPr>
          <w:lang w:val="en-US"/>
        </w:rPr>
        <w:t>eference to a dataset</w:t>
      </w:r>
      <w:r w:rsidR="006E15D9">
        <w:rPr>
          <w:lang w:val="en-US"/>
        </w:rPr>
        <w:t xml:space="preserve">, the last item of the list [9] – reference </w:t>
      </w:r>
      <w:bookmarkStart w:id="0" w:name="_GoBack"/>
      <w:bookmarkEnd w:id="0"/>
      <w:r w:rsidR="006E15D9">
        <w:rPr>
          <w:lang w:val="en-US"/>
        </w:rPr>
        <w:t>to a software</w:t>
      </w:r>
      <w:r w:rsidR="00346505">
        <w:rPr>
          <w:lang w:val="en-US"/>
        </w:rPr>
        <w:t xml:space="preserve">. </w:t>
      </w:r>
    </w:p>
    <w:p w:rsidR="001B559B" w:rsidRPr="00D51789" w:rsidRDefault="001B559B" w:rsidP="00D73733">
      <w:pPr>
        <w:ind w:firstLine="357"/>
        <w:jc w:val="both"/>
        <w:rPr>
          <w:lang w:val="en-US"/>
        </w:rPr>
      </w:pPr>
      <w:r w:rsidRPr="00346505">
        <w:rPr>
          <w:lang w:val="en-US"/>
        </w:rPr>
        <w:t xml:space="preserve">Please, pay your attention to the arrangement of </w:t>
      </w:r>
      <w:r w:rsidR="00D51789">
        <w:rPr>
          <w:lang w:val="en-US"/>
        </w:rPr>
        <w:t>spaces and signs of punctuation</w:t>
      </w:r>
      <w:r w:rsidRPr="00346505">
        <w:rPr>
          <w:lang w:val="en-US"/>
        </w:rPr>
        <w:t xml:space="preserve">. </w:t>
      </w:r>
      <w:r w:rsidR="00D51789">
        <w:rPr>
          <w:lang w:val="en-US"/>
        </w:rPr>
        <w:t xml:space="preserve">No commas between author’s name and initials </w:t>
      </w:r>
      <w:r w:rsidR="00D51789" w:rsidRPr="00346505">
        <w:rPr>
          <w:lang w:val="en-US"/>
        </w:rPr>
        <w:t>(example: John J.J.)</w:t>
      </w:r>
      <w:r w:rsidR="00D51789">
        <w:rPr>
          <w:lang w:val="en-US"/>
        </w:rPr>
        <w:t>. P</w:t>
      </w:r>
      <w:r w:rsidRPr="00346505">
        <w:rPr>
          <w:lang w:val="en-US"/>
        </w:rPr>
        <w:t>age rang</w:t>
      </w:r>
      <w:r w:rsidRPr="00D51789">
        <w:rPr>
          <w:lang w:val="en-US"/>
        </w:rPr>
        <w:t xml:space="preserve">e (P. 121–123) </w:t>
      </w:r>
      <w:proofErr w:type="gramStart"/>
      <w:r w:rsidRPr="00D51789">
        <w:rPr>
          <w:lang w:val="en-US"/>
        </w:rPr>
        <w:t>should be written</w:t>
      </w:r>
      <w:proofErr w:type="gramEnd"/>
      <w:r w:rsidRPr="00D51789">
        <w:rPr>
          <w:lang w:val="en-US"/>
        </w:rPr>
        <w:t xml:space="preserve"> using short dash (–) typed as (Ctrl </w:t>
      </w:r>
      <w:proofErr w:type="spellStart"/>
      <w:r w:rsidRPr="00D51789">
        <w:rPr>
          <w:lang w:val="en-US"/>
        </w:rPr>
        <w:t>Num</w:t>
      </w:r>
      <w:proofErr w:type="spellEnd"/>
      <w:r w:rsidRPr="00D51789">
        <w:rPr>
          <w:lang w:val="en-US"/>
        </w:rPr>
        <w:t xml:space="preserve"> -). </w:t>
      </w:r>
    </w:p>
    <w:p w:rsidR="001B559B" w:rsidRPr="00D73733" w:rsidRDefault="001B559B" w:rsidP="00D73733">
      <w:pPr>
        <w:ind w:firstLine="357"/>
        <w:jc w:val="both"/>
        <w:rPr>
          <w:lang w:val="en-US"/>
        </w:rPr>
      </w:pPr>
      <w:r w:rsidRPr="00346505">
        <w:rPr>
          <w:lang w:val="en-US"/>
        </w:rPr>
        <w:t xml:space="preserve">A reference to an article of up to 10 authors includes the names of all of them, </w:t>
      </w:r>
      <w:proofErr w:type="spellStart"/>
      <w:r w:rsidRPr="00346505">
        <w:rPr>
          <w:lang w:val="en-US"/>
        </w:rPr>
        <w:t>otherwize</w:t>
      </w:r>
      <w:proofErr w:type="spellEnd"/>
      <w:r w:rsidRPr="00346505">
        <w:rPr>
          <w:lang w:val="en-US"/>
        </w:rPr>
        <w:t xml:space="preserve"> the first ten names is followed by “et al.</w:t>
      </w:r>
      <w:proofErr w:type="gramStart"/>
      <w:r w:rsidRPr="00346505">
        <w:rPr>
          <w:lang w:val="en-US"/>
        </w:rPr>
        <w:t>”.</w:t>
      </w:r>
      <w:proofErr w:type="gramEnd"/>
      <w:r w:rsidRPr="00346505">
        <w:rPr>
          <w:lang w:val="en-US"/>
        </w:rPr>
        <w:t xml:space="preserve"> A reference to electronic resource (web site) should contain the main bibliographic information followed by its URL and date the document </w:t>
      </w:r>
      <w:proofErr w:type="gramStart"/>
      <w:r w:rsidRPr="00346505">
        <w:rPr>
          <w:lang w:val="en-US"/>
        </w:rPr>
        <w:t>was accessed</w:t>
      </w:r>
      <w:proofErr w:type="gramEnd"/>
      <w:r w:rsidRPr="00346505">
        <w:rPr>
          <w:lang w:val="en-US"/>
        </w:rPr>
        <w:t xml:space="preserve">. </w:t>
      </w:r>
      <w:r w:rsidRPr="00D73733">
        <w:rPr>
          <w:lang w:val="en-US"/>
        </w:rPr>
        <w:t xml:space="preserve">In </w:t>
      </w:r>
      <w:r w:rsidR="00D73733">
        <w:rPr>
          <w:lang w:val="en-US"/>
        </w:rPr>
        <w:t xml:space="preserve">the </w:t>
      </w:r>
      <w:r w:rsidRPr="00D73733">
        <w:rPr>
          <w:lang w:val="en-US"/>
        </w:rPr>
        <w:t xml:space="preserve">case of an electronic publication (a journal article), the reference should be followed </w:t>
      </w:r>
      <w:proofErr w:type="gramStart"/>
      <w:r w:rsidRPr="00D73733">
        <w:rPr>
          <w:lang w:val="en-US"/>
        </w:rPr>
        <w:t>with  DOI</w:t>
      </w:r>
      <w:proofErr w:type="gramEnd"/>
      <w:r w:rsidRPr="00D73733">
        <w:rPr>
          <w:lang w:val="en-US"/>
        </w:rPr>
        <w:t>.</w:t>
      </w:r>
    </w:p>
    <w:p w:rsidR="00346505" w:rsidRDefault="001B559B" w:rsidP="00D73733">
      <w:pPr>
        <w:ind w:firstLine="357"/>
        <w:jc w:val="both"/>
      </w:pPr>
      <w:r w:rsidRPr="001B559B">
        <w:t xml:space="preserve">A </w:t>
      </w:r>
      <w:proofErr w:type="spellStart"/>
      <w:r w:rsidRPr="001B559B">
        <w:t>reference</w:t>
      </w:r>
      <w:proofErr w:type="spellEnd"/>
      <w:r w:rsidRPr="001B559B">
        <w:t xml:space="preserve"> </w:t>
      </w:r>
      <w:proofErr w:type="spellStart"/>
      <w:r w:rsidRPr="001B559B">
        <w:t>list</w:t>
      </w:r>
      <w:proofErr w:type="spellEnd"/>
      <w:r w:rsidRPr="001B559B">
        <w:t xml:space="preserve"> </w:t>
      </w:r>
      <w:proofErr w:type="spellStart"/>
      <w:r w:rsidRPr="001B559B">
        <w:t>must</w:t>
      </w:r>
      <w:proofErr w:type="spellEnd"/>
      <w:r w:rsidRPr="001B559B">
        <w:t xml:space="preserve"> contain 20 or more references, and not more than 25 % of them can be self-references. Do not </w:t>
      </w:r>
      <w:proofErr w:type="spellStart"/>
      <w:r w:rsidRPr="001B559B">
        <w:t>refer</w:t>
      </w:r>
      <w:proofErr w:type="spellEnd"/>
      <w:r w:rsidRPr="001B559B">
        <w:t xml:space="preserve"> </w:t>
      </w:r>
      <w:proofErr w:type="spellStart"/>
      <w:r w:rsidRPr="001B559B">
        <w:t>dictionaries</w:t>
      </w:r>
      <w:proofErr w:type="spellEnd"/>
      <w:r w:rsidRPr="001B559B">
        <w:t xml:space="preserve"> </w:t>
      </w:r>
      <w:proofErr w:type="spellStart"/>
      <w:r w:rsidRPr="001B559B">
        <w:t>and</w:t>
      </w:r>
      <w:proofErr w:type="spellEnd"/>
      <w:r w:rsidRPr="001B559B">
        <w:t xml:space="preserve"> </w:t>
      </w:r>
      <w:proofErr w:type="spellStart"/>
      <w:r w:rsidRPr="001B559B">
        <w:t>encyclopedia</w:t>
      </w:r>
      <w:proofErr w:type="spellEnd"/>
      <w:r w:rsidRPr="001B559B">
        <w:t>!</w:t>
      </w:r>
    </w:p>
    <w:p w:rsidR="006B1207" w:rsidRPr="008B10A6" w:rsidRDefault="008B10A6" w:rsidP="00D73733">
      <w:pPr>
        <w:spacing w:before="120" w:after="240"/>
        <w:ind w:firstLine="357"/>
        <w:jc w:val="center"/>
        <w:rPr>
          <w:b/>
          <w:bCs/>
        </w:rPr>
      </w:pPr>
      <w:r>
        <w:rPr>
          <w:b/>
          <w:bCs/>
        </w:rPr>
        <w:t>REFERENCES</w:t>
      </w:r>
    </w:p>
    <w:p w:rsidR="00BB6E71" w:rsidRDefault="00BB6E71" w:rsidP="00BB6E7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lang w:val="en-US"/>
        </w:rPr>
      </w:pPr>
      <w:proofErr w:type="spellStart"/>
      <w:r w:rsidRPr="0059274E">
        <w:rPr>
          <w:lang w:val="en-US"/>
        </w:rPr>
        <w:lastRenderedPageBreak/>
        <w:t>Khlebodarova</w:t>
      </w:r>
      <w:proofErr w:type="spellEnd"/>
      <w:r w:rsidRPr="0059274E">
        <w:rPr>
          <w:lang w:val="en-US"/>
        </w:rPr>
        <w:t xml:space="preserve"> T.M., </w:t>
      </w:r>
      <w:proofErr w:type="spellStart"/>
      <w:r w:rsidRPr="0059274E">
        <w:rPr>
          <w:lang w:val="en-US"/>
        </w:rPr>
        <w:t>Likhoshvai</w:t>
      </w:r>
      <w:proofErr w:type="spellEnd"/>
      <w:r w:rsidRPr="0059274E">
        <w:rPr>
          <w:lang w:val="en-US"/>
        </w:rPr>
        <w:t xml:space="preserve"> V.A. New evidence of an old problem: the coupling of genome replication to cell growth in bacteria. </w:t>
      </w:r>
      <w:r w:rsidRPr="00500836">
        <w:rPr>
          <w:i/>
          <w:lang w:val="en-US"/>
        </w:rPr>
        <w:t>Russ</w:t>
      </w:r>
      <w:r w:rsidRPr="002A3C58">
        <w:rPr>
          <w:i/>
          <w:lang w:val="en-US"/>
        </w:rPr>
        <w:t xml:space="preserve">. </w:t>
      </w:r>
      <w:r w:rsidRPr="00500836">
        <w:rPr>
          <w:i/>
          <w:lang w:val="en-US"/>
        </w:rPr>
        <w:t>J</w:t>
      </w:r>
      <w:r w:rsidRPr="002A3C58">
        <w:rPr>
          <w:i/>
          <w:lang w:val="en-US"/>
        </w:rPr>
        <w:t xml:space="preserve">. </w:t>
      </w:r>
      <w:r w:rsidRPr="00500836">
        <w:rPr>
          <w:i/>
          <w:lang w:val="en-US"/>
        </w:rPr>
        <w:t>Genet</w:t>
      </w:r>
      <w:r w:rsidRPr="002A3C58">
        <w:rPr>
          <w:lang w:val="en-US"/>
        </w:rPr>
        <w:t xml:space="preserve">. </w:t>
      </w:r>
      <w:r w:rsidRPr="0042188B">
        <w:rPr>
          <w:lang w:val="en-US"/>
        </w:rPr>
        <w:t xml:space="preserve">2014. </w:t>
      </w:r>
      <w:r w:rsidRPr="0059274E">
        <w:rPr>
          <w:lang w:val="en-US"/>
        </w:rPr>
        <w:t>V</w:t>
      </w:r>
      <w:r w:rsidRPr="0042188B">
        <w:rPr>
          <w:lang w:val="en-US"/>
        </w:rPr>
        <w:t xml:space="preserve">. 50. </w:t>
      </w:r>
      <w:r w:rsidR="00D51789">
        <w:rPr>
          <w:lang w:val="en-US"/>
        </w:rPr>
        <w:t>No.</w:t>
      </w:r>
      <w:r w:rsidRPr="0042188B">
        <w:rPr>
          <w:lang w:val="en-US"/>
        </w:rPr>
        <w:t xml:space="preserve"> 9. </w:t>
      </w:r>
      <w:r>
        <w:rPr>
          <w:lang w:val="en-US"/>
        </w:rPr>
        <w:t>P</w:t>
      </w:r>
      <w:r w:rsidRPr="0042188B">
        <w:rPr>
          <w:lang w:val="en-US"/>
        </w:rPr>
        <w:t xml:space="preserve">. 891–901. </w:t>
      </w:r>
      <w:proofErr w:type="spellStart"/>
      <w:r>
        <w:rPr>
          <w:lang w:val="en-US"/>
        </w:rPr>
        <w:t>doi</w:t>
      </w:r>
      <w:proofErr w:type="spellEnd"/>
      <w:r w:rsidRPr="0042188B">
        <w:rPr>
          <w:lang w:val="en-US"/>
        </w:rPr>
        <w:t xml:space="preserve">: </w:t>
      </w:r>
      <w:hyperlink r:id="rId15" w:history="1">
        <w:r w:rsidRPr="009C10EC">
          <w:rPr>
            <w:rStyle w:val="a5"/>
            <w:rFonts w:eastAsia="TimesNewRomanPSMT"/>
            <w:lang w:val="en-US" w:eastAsia="en-US"/>
          </w:rPr>
          <w:t>10.1134/S102279541408002X</w:t>
        </w:r>
      </w:hyperlink>
      <w:r w:rsidRPr="0042188B">
        <w:rPr>
          <w:lang w:val="en-US"/>
        </w:rPr>
        <w:t>.</w:t>
      </w:r>
    </w:p>
    <w:p w:rsidR="00BB6E71" w:rsidRPr="008B4F10" w:rsidRDefault="00BB6E71" w:rsidP="00BB6E71">
      <w:pPr>
        <w:pStyle w:val="af6"/>
        <w:numPr>
          <w:ilvl w:val="0"/>
          <w:numId w:val="4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  <w:r w:rsidRPr="008B4F10">
        <w:rPr>
          <w:rFonts w:eastAsia="TimesNewRomanPSMT"/>
          <w:lang w:val="en-US" w:eastAsia="en-US"/>
        </w:rPr>
        <w:t xml:space="preserve">Liu W.-Y., Wong C.-F., Chung K.-M., Jiang J.-W., Leung F.C.-C. Comparative genome analysis of </w:t>
      </w:r>
      <w:r w:rsidRPr="008B4F10">
        <w:rPr>
          <w:rFonts w:eastAsia="TimesNewRomanPSMT"/>
          <w:i/>
          <w:lang w:val="en-US" w:eastAsia="en-US"/>
        </w:rPr>
        <w:t>Enterobacter cloacae</w:t>
      </w:r>
      <w:r w:rsidRPr="008B4F10">
        <w:rPr>
          <w:rFonts w:eastAsia="TimesNewRomanPSMT"/>
          <w:lang w:val="en-US" w:eastAsia="en-US"/>
        </w:rPr>
        <w:t xml:space="preserve">. </w:t>
      </w:r>
      <w:proofErr w:type="spellStart"/>
      <w:r w:rsidRPr="008B4F10">
        <w:rPr>
          <w:rFonts w:eastAsia="TimesNewRomanPSMT"/>
          <w:i/>
          <w:lang w:val="en-US" w:eastAsia="en-US"/>
        </w:rPr>
        <w:t>PLoS</w:t>
      </w:r>
      <w:proofErr w:type="spellEnd"/>
      <w:r w:rsidRPr="008B4F10">
        <w:rPr>
          <w:rFonts w:eastAsia="TimesNewRomanPSMT"/>
          <w:i/>
          <w:lang w:val="en-US" w:eastAsia="en-US"/>
        </w:rPr>
        <w:t xml:space="preserve"> One.</w:t>
      </w:r>
      <w:r w:rsidRPr="008B4F10">
        <w:rPr>
          <w:rFonts w:eastAsia="TimesNewRomanPSMT"/>
          <w:lang w:val="en-US" w:eastAsia="en-US"/>
        </w:rPr>
        <w:t xml:space="preserve"> 2013. Article No. e74487. </w:t>
      </w:r>
      <w:proofErr w:type="spellStart"/>
      <w:r w:rsidRPr="008B4F10">
        <w:rPr>
          <w:rFonts w:eastAsia="TimesNewRomanPSMT"/>
          <w:lang w:val="en-US" w:eastAsia="en-US"/>
        </w:rPr>
        <w:t>doi</w:t>
      </w:r>
      <w:proofErr w:type="spellEnd"/>
      <w:r w:rsidRPr="008B4F10">
        <w:rPr>
          <w:rFonts w:eastAsia="TimesNewRomanPSMT"/>
          <w:lang w:val="en-US" w:eastAsia="en-US"/>
        </w:rPr>
        <w:t xml:space="preserve">: </w:t>
      </w:r>
      <w:hyperlink r:id="rId16" w:history="1">
        <w:r w:rsidRPr="008B4F10">
          <w:rPr>
            <w:rStyle w:val="a5"/>
            <w:rFonts w:eastAsia="TimesNewRomanPSMT"/>
            <w:lang w:val="en-US" w:eastAsia="en-US"/>
          </w:rPr>
          <w:t>10.1371/journal.pone.0074487</w:t>
        </w:r>
      </w:hyperlink>
    </w:p>
    <w:p w:rsidR="00BB6E71" w:rsidRDefault="00BB6E71" w:rsidP="00BB6E71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Petrov</w:t>
      </w:r>
      <w:proofErr w:type="spellEnd"/>
      <w:r w:rsidRPr="00C315E8">
        <w:rPr>
          <w:lang w:val="en-US"/>
        </w:rPr>
        <w:t xml:space="preserve"> </w:t>
      </w:r>
      <w:r>
        <w:rPr>
          <w:lang w:val="en-US"/>
        </w:rPr>
        <w:t>P</w:t>
      </w:r>
      <w:r w:rsidRPr="00C315E8">
        <w:rPr>
          <w:lang w:val="en-US"/>
        </w:rPr>
        <w:t>.</w:t>
      </w:r>
      <w:r>
        <w:rPr>
          <w:lang w:val="en-US"/>
        </w:rPr>
        <w:t>P</w:t>
      </w:r>
      <w:r w:rsidRPr="00C315E8">
        <w:rPr>
          <w:lang w:val="en-US"/>
        </w:rPr>
        <w:t xml:space="preserve">., </w:t>
      </w:r>
      <w:proofErr w:type="spellStart"/>
      <w:r>
        <w:rPr>
          <w:lang w:val="en-US"/>
        </w:rPr>
        <w:t>Sidorov</w:t>
      </w:r>
      <w:proofErr w:type="spellEnd"/>
      <w:r w:rsidRPr="00C315E8">
        <w:rPr>
          <w:lang w:val="en-US"/>
        </w:rPr>
        <w:t xml:space="preserve"> </w:t>
      </w:r>
      <w:r>
        <w:rPr>
          <w:lang w:val="en-US"/>
        </w:rPr>
        <w:t>S</w:t>
      </w:r>
      <w:r w:rsidRPr="00C315E8">
        <w:rPr>
          <w:lang w:val="en-US"/>
        </w:rPr>
        <w:t>.</w:t>
      </w:r>
      <w:r>
        <w:rPr>
          <w:lang w:val="en-US"/>
        </w:rPr>
        <w:t>S</w:t>
      </w:r>
      <w:r w:rsidRPr="00C315E8">
        <w:rPr>
          <w:lang w:val="en-US"/>
        </w:rPr>
        <w:t xml:space="preserve">. </w:t>
      </w:r>
      <w:r>
        <w:rPr>
          <w:lang w:val="en-US"/>
        </w:rPr>
        <w:t>In</w:t>
      </w:r>
      <w:r w:rsidRPr="00C315E8">
        <w:rPr>
          <w:lang w:val="en-US"/>
        </w:rPr>
        <w:t xml:space="preserve">: </w:t>
      </w:r>
      <w:r w:rsidRPr="00B250D2">
        <w:rPr>
          <w:i/>
          <w:iCs/>
          <w:lang w:val="en-US"/>
        </w:rPr>
        <w:t>Interacting</w:t>
      </w:r>
      <w:r w:rsidRPr="00C315E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P</w:t>
      </w:r>
      <w:r w:rsidRPr="00B250D2">
        <w:rPr>
          <w:i/>
          <w:iCs/>
          <w:lang w:val="en-US"/>
        </w:rPr>
        <w:t>article</w:t>
      </w:r>
      <w:r w:rsidRPr="00C315E8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</w:t>
      </w:r>
      <w:r w:rsidRPr="00B250D2">
        <w:rPr>
          <w:i/>
          <w:iCs/>
          <w:lang w:val="en-US"/>
        </w:rPr>
        <w:t>ystems</w:t>
      </w:r>
      <w:r w:rsidRPr="00C315E8">
        <w:rPr>
          <w:lang w:val="en-US"/>
        </w:rPr>
        <w:t xml:space="preserve">. </w:t>
      </w:r>
      <w:r>
        <w:rPr>
          <w:lang w:val="en-US"/>
        </w:rPr>
        <w:t>Eds</w:t>
      </w:r>
      <w:r w:rsidRPr="00D92E09">
        <w:rPr>
          <w:lang w:val="en-US"/>
        </w:rPr>
        <w:t xml:space="preserve">. </w:t>
      </w:r>
      <w:r>
        <w:rPr>
          <w:lang w:val="en-US"/>
        </w:rPr>
        <w:t>Ivanov</w:t>
      </w:r>
      <w:r w:rsidRPr="00D92E09">
        <w:rPr>
          <w:lang w:val="en-US"/>
        </w:rPr>
        <w:t xml:space="preserve"> </w:t>
      </w:r>
      <w:r>
        <w:rPr>
          <w:lang w:val="en-US"/>
        </w:rPr>
        <w:t>I</w:t>
      </w:r>
      <w:r w:rsidRPr="00D92E09">
        <w:rPr>
          <w:lang w:val="en-US"/>
        </w:rPr>
        <w:t>.</w:t>
      </w:r>
      <w:r>
        <w:rPr>
          <w:lang w:val="en-US"/>
        </w:rPr>
        <w:t>I</w:t>
      </w:r>
      <w:r w:rsidRPr="00D92E09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P.P.</w:t>
      </w:r>
      <w:r w:rsidRPr="00D92E09">
        <w:rPr>
          <w:lang w:val="en-US"/>
        </w:rPr>
        <w:t xml:space="preserve"> </w:t>
      </w:r>
      <w:proofErr w:type="spellStart"/>
      <w:r w:rsidRPr="00B250D2">
        <w:rPr>
          <w:lang w:val="en-US"/>
        </w:rPr>
        <w:t>Chichester</w:t>
      </w:r>
      <w:proofErr w:type="spellEnd"/>
      <w:r w:rsidRPr="00D92E09">
        <w:rPr>
          <w:lang w:val="en-US"/>
        </w:rPr>
        <w:t xml:space="preserve">: </w:t>
      </w:r>
      <w:r w:rsidRPr="00B250D2">
        <w:rPr>
          <w:lang w:val="en-US"/>
        </w:rPr>
        <w:t>John</w:t>
      </w:r>
      <w:r w:rsidRPr="00D92E09">
        <w:rPr>
          <w:lang w:val="en-US"/>
        </w:rPr>
        <w:t xml:space="preserve"> </w:t>
      </w:r>
      <w:r w:rsidRPr="00B250D2">
        <w:rPr>
          <w:lang w:val="en-US"/>
        </w:rPr>
        <w:t>Wiley</w:t>
      </w:r>
      <w:r w:rsidRPr="00D92E09">
        <w:rPr>
          <w:lang w:val="en-US"/>
        </w:rPr>
        <w:t xml:space="preserve"> </w:t>
      </w:r>
      <w:r>
        <w:rPr>
          <w:lang w:val="en-US"/>
        </w:rPr>
        <w:t>and</w:t>
      </w:r>
      <w:r w:rsidRPr="00D92E09">
        <w:rPr>
          <w:lang w:val="en-US"/>
        </w:rPr>
        <w:t xml:space="preserve"> </w:t>
      </w:r>
      <w:r w:rsidRPr="00B250D2">
        <w:rPr>
          <w:lang w:val="en-US"/>
        </w:rPr>
        <w:t>Sons</w:t>
      </w:r>
      <w:r w:rsidRPr="0093476D">
        <w:rPr>
          <w:lang w:val="en-US"/>
        </w:rPr>
        <w:t>,</w:t>
      </w:r>
      <w:r w:rsidRPr="00CC0A4A">
        <w:rPr>
          <w:lang w:val="en-US"/>
        </w:rPr>
        <w:t xml:space="preserve"> </w:t>
      </w:r>
      <w:r w:rsidRPr="00C315E8">
        <w:rPr>
          <w:lang w:val="en-US"/>
        </w:rPr>
        <w:t>2004.</w:t>
      </w:r>
      <w:r w:rsidRPr="00CC0A4A">
        <w:rPr>
          <w:lang w:val="en-US"/>
        </w:rPr>
        <w:t xml:space="preserve"> </w:t>
      </w:r>
      <w:r w:rsidRPr="0093476D">
        <w:rPr>
          <w:lang w:val="en-US"/>
        </w:rPr>
        <w:t>P</w:t>
      </w:r>
      <w:r>
        <w:rPr>
          <w:lang w:val="en-US"/>
        </w:rPr>
        <w:t>.</w:t>
      </w:r>
      <w:r w:rsidRPr="00D92E09">
        <w:rPr>
          <w:lang w:val="en-US"/>
        </w:rPr>
        <w:t xml:space="preserve"> 11</w:t>
      </w:r>
      <w:r>
        <w:rPr>
          <w:lang w:val="en-US"/>
        </w:rPr>
        <w:t>–</w:t>
      </w:r>
      <w:r w:rsidRPr="00D92E09">
        <w:rPr>
          <w:lang w:val="en-US"/>
        </w:rPr>
        <w:t>23.</w:t>
      </w:r>
    </w:p>
    <w:p w:rsidR="00BB6E71" w:rsidRPr="006D4496" w:rsidRDefault="00BB6E71" w:rsidP="00BB6E71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lang w:val="en-US"/>
        </w:rPr>
      </w:pPr>
      <w:proofErr w:type="spellStart"/>
      <w:r>
        <w:rPr>
          <w:lang w:val="en-US"/>
        </w:rPr>
        <w:t>Petrov</w:t>
      </w:r>
      <w:proofErr w:type="spellEnd"/>
      <w:r w:rsidRPr="006D4496">
        <w:rPr>
          <w:lang w:val="en-US"/>
        </w:rPr>
        <w:t xml:space="preserve"> </w:t>
      </w:r>
      <w:r>
        <w:rPr>
          <w:lang w:val="en-US"/>
        </w:rPr>
        <w:t>P</w:t>
      </w:r>
      <w:r w:rsidRPr="006D4496">
        <w:rPr>
          <w:lang w:val="en-US"/>
        </w:rPr>
        <w:t>.</w:t>
      </w:r>
      <w:r>
        <w:rPr>
          <w:lang w:val="en-US"/>
        </w:rPr>
        <w:t>P</w:t>
      </w:r>
      <w:r w:rsidRPr="006D4496">
        <w:rPr>
          <w:lang w:val="en-US"/>
        </w:rPr>
        <w:t xml:space="preserve">. </w:t>
      </w:r>
      <w:r w:rsidRPr="00BE2A63">
        <w:rPr>
          <w:i/>
          <w:iCs/>
          <w:lang w:val="en-US"/>
        </w:rPr>
        <w:t>Quantum</w:t>
      </w:r>
      <w:r w:rsidRPr="006D4496">
        <w:rPr>
          <w:i/>
          <w:iCs/>
          <w:lang w:val="en-US"/>
        </w:rPr>
        <w:t xml:space="preserve"> </w:t>
      </w:r>
      <w:r w:rsidRPr="00BE2A63">
        <w:rPr>
          <w:i/>
          <w:iCs/>
          <w:lang w:val="en-US"/>
        </w:rPr>
        <w:t>Mechanics</w:t>
      </w:r>
      <w:r w:rsidRPr="006D4496">
        <w:rPr>
          <w:i/>
          <w:iCs/>
          <w:lang w:val="en-US"/>
        </w:rPr>
        <w:t>.</w:t>
      </w:r>
      <w:r w:rsidRPr="006D4496"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BE2A63">
            <w:rPr>
              <w:lang w:val="en-US"/>
            </w:rPr>
            <w:t>New</w:t>
          </w:r>
          <w:r w:rsidRPr="006D4496">
            <w:rPr>
              <w:lang w:val="en-US"/>
            </w:rPr>
            <w:t xml:space="preserve"> </w:t>
          </w:r>
          <w:r w:rsidRPr="00BE2A63">
            <w:rPr>
              <w:lang w:val="en-US"/>
            </w:rPr>
            <w:t>York</w:t>
          </w:r>
        </w:smartTag>
      </w:smartTag>
      <w:r w:rsidRPr="006D4496">
        <w:rPr>
          <w:lang w:val="en-US"/>
        </w:rPr>
        <w:t xml:space="preserve">: </w:t>
      </w:r>
      <w:r w:rsidRPr="00BE2A63">
        <w:rPr>
          <w:lang w:val="en-US"/>
        </w:rPr>
        <w:t>Springer</w:t>
      </w:r>
      <w:r w:rsidRPr="006D4496">
        <w:rPr>
          <w:lang w:val="en-US"/>
        </w:rPr>
        <w:t>-</w:t>
      </w:r>
      <w:proofErr w:type="spellStart"/>
      <w:r w:rsidRPr="00BE2A63">
        <w:rPr>
          <w:lang w:val="en-US"/>
        </w:rPr>
        <w:t>Verlag</w:t>
      </w:r>
      <w:proofErr w:type="spellEnd"/>
      <w:r>
        <w:rPr>
          <w:lang w:val="en-US"/>
        </w:rPr>
        <w:t>,</w:t>
      </w:r>
      <w:r w:rsidRPr="006D4496">
        <w:rPr>
          <w:lang w:val="en-US"/>
        </w:rPr>
        <w:t xml:space="preserve"> 1977. 567 </w:t>
      </w:r>
      <w:r>
        <w:rPr>
          <w:lang w:val="en-US"/>
        </w:rPr>
        <w:t>p</w:t>
      </w:r>
      <w:r w:rsidRPr="006D4496">
        <w:rPr>
          <w:lang w:val="en-US"/>
        </w:rPr>
        <w:t>.</w:t>
      </w:r>
    </w:p>
    <w:p w:rsidR="00BB6E71" w:rsidRDefault="00BB6E71" w:rsidP="00BB6E7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lang w:val="en-US"/>
        </w:rPr>
      </w:pPr>
      <w:r>
        <w:rPr>
          <w:lang w:val="en-US"/>
        </w:rPr>
        <w:t>Lewin</w:t>
      </w:r>
      <w:r w:rsidRPr="0042188B">
        <w:rPr>
          <w:lang w:val="en-US"/>
        </w:rPr>
        <w:t xml:space="preserve"> </w:t>
      </w:r>
      <w:r>
        <w:rPr>
          <w:lang w:val="en-US"/>
        </w:rPr>
        <w:t>B</w:t>
      </w:r>
      <w:r w:rsidRPr="0042188B">
        <w:rPr>
          <w:lang w:val="en-US"/>
        </w:rPr>
        <w:t xml:space="preserve">. </w:t>
      </w:r>
      <w:r w:rsidRPr="006255FC">
        <w:rPr>
          <w:i/>
          <w:lang w:val="en-US"/>
        </w:rPr>
        <w:t>Genes</w:t>
      </w:r>
      <w:r w:rsidRPr="0042188B">
        <w:rPr>
          <w:lang w:val="en-US"/>
        </w:rPr>
        <w:t xml:space="preserve">. </w:t>
      </w:r>
      <w:r>
        <w:rPr>
          <w:lang w:val="en-US"/>
        </w:rPr>
        <w:t>John</w:t>
      </w:r>
      <w:r w:rsidRPr="0042188B">
        <w:rPr>
          <w:lang w:val="en-US"/>
        </w:rPr>
        <w:t xml:space="preserve"> </w:t>
      </w:r>
      <w:r>
        <w:rPr>
          <w:lang w:val="en-US"/>
        </w:rPr>
        <w:t>Wiley</w:t>
      </w:r>
      <w:r w:rsidRPr="0042188B">
        <w:rPr>
          <w:lang w:val="en-US"/>
        </w:rPr>
        <w:t xml:space="preserve"> </w:t>
      </w:r>
      <w:r>
        <w:rPr>
          <w:lang w:val="en-US"/>
        </w:rPr>
        <w:t>and</w:t>
      </w:r>
      <w:r w:rsidRPr="0042188B">
        <w:rPr>
          <w:lang w:val="en-US"/>
        </w:rPr>
        <w:t xml:space="preserve"> </w:t>
      </w:r>
      <w:r>
        <w:rPr>
          <w:lang w:val="en-US"/>
        </w:rPr>
        <w:t>Sons</w:t>
      </w:r>
      <w:r w:rsidRPr="0042188B">
        <w:rPr>
          <w:lang w:val="en-US"/>
        </w:rPr>
        <w:t>, 1983.</w:t>
      </w:r>
      <w:r>
        <w:rPr>
          <w:lang w:val="en-US"/>
        </w:rPr>
        <w:t xml:space="preserve"> 566 p.</w:t>
      </w:r>
    </w:p>
    <w:p w:rsidR="00BB6E71" w:rsidRPr="0042188B" w:rsidRDefault="00BB6E71" w:rsidP="00BB6E7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lang w:val="en-US"/>
        </w:rPr>
      </w:pPr>
      <w:r>
        <w:rPr>
          <w:lang w:val="en-US"/>
        </w:rPr>
        <w:t xml:space="preserve">Ivanov P.P. </w:t>
      </w:r>
      <w:r w:rsidRPr="008B4F10">
        <w:rPr>
          <w:i/>
          <w:lang w:val="en-US"/>
        </w:rPr>
        <w:t>Methods of Applied Mathematics</w:t>
      </w:r>
      <w:r>
        <w:rPr>
          <w:lang w:val="en-US"/>
        </w:rPr>
        <w:t>. Moscow: Science, 2010. 355 p.</w:t>
      </w:r>
    </w:p>
    <w:p w:rsidR="00BB6E71" w:rsidRDefault="00BB6E71" w:rsidP="00BB6E71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lang w:val="en-US"/>
        </w:rPr>
      </w:pPr>
      <w:bookmarkStart w:id="1" w:name="_Ref259268963"/>
      <w:bookmarkStart w:id="2" w:name="_Ref259269832"/>
      <w:r w:rsidRPr="00992EFF">
        <w:rPr>
          <w:i/>
          <w:lang w:val="en-US"/>
        </w:rPr>
        <w:t>Tandem repeat finder</w:t>
      </w:r>
      <w:bookmarkEnd w:id="1"/>
      <w:r w:rsidRPr="00992EFF">
        <w:rPr>
          <w:lang w:val="en-US"/>
        </w:rPr>
        <w:t>.</w:t>
      </w:r>
      <w:r>
        <w:rPr>
          <w:lang w:val="en-US"/>
        </w:rPr>
        <w:t xml:space="preserve"> </w:t>
      </w:r>
      <w:bookmarkEnd w:id="2"/>
      <w:r>
        <w:rPr>
          <w:lang w:val="en-US"/>
        </w:rPr>
        <w:t>URL</w:t>
      </w:r>
      <w:r w:rsidRPr="00AD1291">
        <w:rPr>
          <w:lang w:val="en-US"/>
        </w:rPr>
        <w:t xml:space="preserve">: </w:t>
      </w:r>
      <w:hyperlink r:id="rId17" w:history="1">
        <w:r w:rsidRPr="00921949">
          <w:rPr>
            <w:rStyle w:val="a5"/>
            <w:lang w:val="en-US"/>
          </w:rPr>
          <w:t>http</w:t>
        </w:r>
        <w:r w:rsidRPr="00AD1291">
          <w:rPr>
            <w:rStyle w:val="a5"/>
            <w:lang w:val="en-US"/>
          </w:rPr>
          <w:t>://</w:t>
        </w:r>
        <w:r w:rsidRPr="00921949">
          <w:rPr>
            <w:rStyle w:val="a5"/>
            <w:lang w:val="en-US"/>
          </w:rPr>
          <w:t>tandem</w:t>
        </w:r>
        <w:r w:rsidRPr="00AD1291">
          <w:rPr>
            <w:rStyle w:val="a5"/>
            <w:lang w:val="en-US"/>
          </w:rPr>
          <w:t>.</w:t>
        </w:r>
        <w:r w:rsidRPr="00921949">
          <w:rPr>
            <w:rStyle w:val="a5"/>
            <w:lang w:val="en-US"/>
          </w:rPr>
          <w:t>bu</w:t>
        </w:r>
        <w:r w:rsidRPr="00AD1291">
          <w:rPr>
            <w:rStyle w:val="a5"/>
            <w:lang w:val="en-US"/>
          </w:rPr>
          <w:t>.</w:t>
        </w:r>
        <w:r w:rsidRPr="00921949">
          <w:rPr>
            <w:rStyle w:val="a5"/>
            <w:lang w:val="en-US"/>
          </w:rPr>
          <w:t>edu</w:t>
        </w:r>
        <w:r w:rsidRPr="00AD1291">
          <w:rPr>
            <w:rStyle w:val="a5"/>
            <w:lang w:val="en-US"/>
          </w:rPr>
          <w:t>/</w:t>
        </w:r>
        <w:r w:rsidRPr="00921949">
          <w:rPr>
            <w:rStyle w:val="a5"/>
            <w:lang w:val="en-US"/>
          </w:rPr>
          <w:t>trf</w:t>
        </w:r>
        <w:r w:rsidRPr="00AD1291">
          <w:rPr>
            <w:rStyle w:val="a5"/>
            <w:lang w:val="en-US"/>
          </w:rPr>
          <w:t>/</w:t>
        </w:r>
        <w:r w:rsidRPr="00921949">
          <w:rPr>
            <w:rStyle w:val="a5"/>
            <w:lang w:val="en-US"/>
          </w:rPr>
          <w:t>trf</w:t>
        </w:r>
        <w:r w:rsidRPr="00AD1291">
          <w:rPr>
            <w:rStyle w:val="a5"/>
            <w:lang w:val="en-US"/>
          </w:rPr>
          <w:t>.</w:t>
        </w:r>
        <w:r w:rsidRPr="00921949">
          <w:rPr>
            <w:rStyle w:val="a5"/>
            <w:lang w:val="en-US"/>
          </w:rPr>
          <w:t>html</w:t>
        </w:r>
      </w:hyperlink>
      <w:r w:rsidRPr="00AD1291">
        <w:rPr>
          <w:lang w:val="en-US"/>
        </w:rPr>
        <w:t xml:space="preserve"> (</w:t>
      </w:r>
      <w:r>
        <w:rPr>
          <w:lang w:val="en-US"/>
        </w:rPr>
        <w:t>accessed 02.03.2015</w:t>
      </w:r>
      <w:r w:rsidRPr="00AD1291">
        <w:rPr>
          <w:lang w:val="en-US"/>
        </w:rPr>
        <w:t>).</w:t>
      </w:r>
    </w:p>
    <w:p w:rsidR="00D73733" w:rsidRDefault="00076B25" w:rsidP="007220C9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40" w:hanging="540"/>
        <w:jc w:val="both"/>
        <w:rPr>
          <w:lang w:val="en-US"/>
        </w:rPr>
      </w:pPr>
      <w:proofErr w:type="spellStart"/>
      <w:r w:rsidRPr="00076B25">
        <w:rPr>
          <w:lang w:val="en-US"/>
        </w:rPr>
        <w:t>Oguro</w:t>
      </w:r>
      <w:proofErr w:type="spellEnd"/>
      <w:r w:rsidRPr="00076B25">
        <w:rPr>
          <w:lang w:val="en-US"/>
        </w:rPr>
        <w:t xml:space="preserve"> M., </w:t>
      </w:r>
      <w:proofErr w:type="spellStart"/>
      <w:r w:rsidRPr="00076B25">
        <w:rPr>
          <w:lang w:val="en-US"/>
        </w:rPr>
        <w:t>Imahiro</w:t>
      </w:r>
      <w:proofErr w:type="spellEnd"/>
      <w:r w:rsidRPr="00076B25">
        <w:rPr>
          <w:lang w:val="en-US"/>
        </w:rPr>
        <w:t xml:space="preserve"> S., Saito S., </w:t>
      </w:r>
      <w:proofErr w:type="spellStart"/>
      <w:r w:rsidRPr="00076B25">
        <w:rPr>
          <w:lang w:val="en-US"/>
        </w:rPr>
        <w:t>Nakashizuka</w:t>
      </w:r>
      <w:proofErr w:type="spellEnd"/>
      <w:r w:rsidRPr="00076B25">
        <w:rPr>
          <w:lang w:val="en-US"/>
        </w:rPr>
        <w:t xml:space="preserve"> T. </w:t>
      </w:r>
      <w:r w:rsidRPr="006E15D9">
        <w:rPr>
          <w:i/>
          <w:lang w:val="en-US"/>
        </w:rPr>
        <w:t>Mortality data for Japanese oak wilt disease and surrounding forest compositions</w:t>
      </w:r>
      <w:r w:rsidRPr="00076B25">
        <w:rPr>
          <w:lang w:val="en-US"/>
        </w:rPr>
        <w:t>.</w:t>
      </w:r>
      <w:r w:rsidRPr="00076B25">
        <w:rPr>
          <w:lang w:val="en-US"/>
        </w:rPr>
        <w:t xml:space="preserve"> </w:t>
      </w:r>
      <w:proofErr w:type="spellStart"/>
      <w:r w:rsidRPr="006E15D9">
        <w:rPr>
          <w:i/>
          <w:lang w:val="en-US"/>
        </w:rPr>
        <w:t>Mendeley</w:t>
      </w:r>
      <w:proofErr w:type="spellEnd"/>
      <w:r w:rsidRPr="006E15D9">
        <w:rPr>
          <w:i/>
          <w:lang w:val="en-US"/>
        </w:rPr>
        <w:t xml:space="preserve"> Data</w:t>
      </w:r>
      <w:r w:rsidR="006E15D9">
        <w:rPr>
          <w:i/>
          <w:lang w:val="en-US"/>
        </w:rPr>
        <w:t xml:space="preserve">, </w:t>
      </w:r>
      <w:r w:rsidR="006E15D9" w:rsidRPr="00076B25">
        <w:rPr>
          <w:lang w:val="en-US"/>
        </w:rPr>
        <w:t>2015.</w:t>
      </w:r>
      <w:r w:rsidRPr="00076B25">
        <w:rPr>
          <w:lang w:val="en-US"/>
        </w:rPr>
        <w:t xml:space="preserve"> </w:t>
      </w:r>
      <w:proofErr w:type="spellStart"/>
      <w:r w:rsidRPr="00076B25">
        <w:rPr>
          <w:lang w:val="en-US"/>
        </w:rPr>
        <w:t>doi</w:t>
      </w:r>
      <w:proofErr w:type="spellEnd"/>
      <w:r w:rsidRPr="00076B25">
        <w:rPr>
          <w:lang w:val="en-US"/>
        </w:rPr>
        <w:t xml:space="preserve">: </w:t>
      </w:r>
      <w:hyperlink r:id="rId18" w:history="1">
        <w:r w:rsidRPr="00076B25">
          <w:rPr>
            <w:rStyle w:val="a5"/>
            <w:lang w:val="en-US"/>
          </w:rPr>
          <w:t>10.17632/ xwj98nb39r.1</w:t>
        </w:r>
      </w:hyperlink>
    </w:p>
    <w:p w:rsidR="00BB6E71" w:rsidRPr="00D51789" w:rsidRDefault="002D7D9A" w:rsidP="00D51789">
      <w:pPr>
        <w:pStyle w:val="af6"/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67" w:hanging="567"/>
        <w:jc w:val="both"/>
        <w:rPr>
          <w:lang w:val="en-US"/>
        </w:rPr>
      </w:pPr>
      <w:r w:rsidRPr="00D51789">
        <w:rPr>
          <w:lang w:val="en-US"/>
        </w:rPr>
        <w:t xml:space="preserve">Coon E., Berndt M., Jan A., </w:t>
      </w:r>
      <w:proofErr w:type="spellStart"/>
      <w:r w:rsidRPr="00D51789">
        <w:rPr>
          <w:lang w:val="en-US"/>
        </w:rPr>
        <w:t>Svyatsky</w:t>
      </w:r>
      <w:proofErr w:type="spellEnd"/>
      <w:r w:rsidRPr="00D51789">
        <w:rPr>
          <w:lang w:val="en-US"/>
        </w:rPr>
        <w:t xml:space="preserve"> D., </w:t>
      </w:r>
      <w:proofErr w:type="spellStart"/>
      <w:r w:rsidRPr="00D51789">
        <w:rPr>
          <w:lang w:val="en-US"/>
        </w:rPr>
        <w:t>Atchley</w:t>
      </w:r>
      <w:proofErr w:type="spellEnd"/>
      <w:r w:rsidRPr="00D51789">
        <w:rPr>
          <w:lang w:val="en-US"/>
        </w:rPr>
        <w:t xml:space="preserve"> A., </w:t>
      </w:r>
      <w:proofErr w:type="spellStart"/>
      <w:r w:rsidRPr="00D51789">
        <w:rPr>
          <w:lang w:val="en-US"/>
        </w:rPr>
        <w:t>Kikinzon</w:t>
      </w:r>
      <w:proofErr w:type="spellEnd"/>
      <w:r w:rsidRPr="00D51789">
        <w:rPr>
          <w:lang w:val="en-US"/>
        </w:rPr>
        <w:t xml:space="preserve"> E., Harp D., </w:t>
      </w:r>
      <w:proofErr w:type="spellStart"/>
      <w:r w:rsidRPr="00D51789">
        <w:rPr>
          <w:lang w:val="en-US"/>
        </w:rPr>
        <w:t>Manzini</w:t>
      </w:r>
      <w:proofErr w:type="spellEnd"/>
      <w:r w:rsidRPr="00D51789">
        <w:rPr>
          <w:lang w:val="en-US"/>
        </w:rPr>
        <w:t xml:space="preserve"> G., </w:t>
      </w:r>
      <w:proofErr w:type="spellStart"/>
      <w:r w:rsidRPr="00D51789">
        <w:rPr>
          <w:lang w:val="en-US"/>
        </w:rPr>
        <w:t>Shelef</w:t>
      </w:r>
      <w:proofErr w:type="spellEnd"/>
      <w:r w:rsidRPr="00D51789">
        <w:rPr>
          <w:lang w:val="en-US"/>
        </w:rPr>
        <w:t xml:space="preserve"> E., </w:t>
      </w:r>
      <w:proofErr w:type="spellStart"/>
      <w:r w:rsidRPr="00D51789">
        <w:rPr>
          <w:lang w:val="en-US"/>
        </w:rPr>
        <w:t>Lipnikov</w:t>
      </w:r>
      <w:proofErr w:type="spellEnd"/>
      <w:r w:rsidRPr="00D51789">
        <w:rPr>
          <w:lang w:val="en-US"/>
        </w:rPr>
        <w:t xml:space="preserve"> K. </w:t>
      </w:r>
      <w:r w:rsidR="006E15D9">
        <w:rPr>
          <w:lang w:val="en-US"/>
        </w:rPr>
        <w:t>et al.</w:t>
      </w:r>
      <w:r w:rsidRPr="00D51789">
        <w:rPr>
          <w:lang w:val="en-US"/>
        </w:rPr>
        <w:t xml:space="preserve"> </w:t>
      </w:r>
      <w:r w:rsidRPr="006E15D9">
        <w:rPr>
          <w:i/>
          <w:lang w:val="en-US"/>
        </w:rPr>
        <w:t>Advanced Terrestrial Simulator (ATS) (Version 0.88)</w:t>
      </w:r>
      <w:r w:rsidRPr="00D51789">
        <w:rPr>
          <w:lang w:val="en-US"/>
        </w:rPr>
        <w:t xml:space="preserve">. </w:t>
      </w:r>
      <w:proofErr w:type="spellStart"/>
      <w:r w:rsidRPr="00D51789">
        <w:rPr>
          <w:lang w:val="en-US"/>
        </w:rPr>
        <w:t>Zenodo</w:t>
      </w:r>
      <w:proofErr w:type="spellEnd"/>
      <w:r w:rsidR="006E15D9">
        <w:rPr>
          <w:lang w:val="en-US"/>
        </w:rPr>
        <w:t xml:space="preserve">, </w:t>
      </w:r>
      <w:r w:rsidR="006E15D9" w:rsidRPr="00D51789">
        <w:rPr>
          <w:lang w:val="en-US"/>
        </w:rPr>
        <w:t>2020.</w:t>
      </w:r>
      <w:r w:rsidRPr="00D51789">
        <w:rPr>
          <w:lang w:val="en-US"/>
        </w:rPr>
        <w:t xml:space="preserve"> </w:t>
      </w:r>
      <w:proofErr w:type="spellStart"/>
      <w:r w:rsidR="006E15D9">
        <w:rPr>
          <w:lang w:val="en-US"/>
        </w:rPr>
        <w:t>doi</w:t>
      </w:r>
      <w:proofErr w:type="spellEnd"/>
      <w:r w:rsidR="006E15D9">
        <w:rPr>
          <w:lang w:val="en-US"/>
        </w:rPr>
        <w:t xml:space="preserve">: </w:t>
      </w:r>
      <w:hyperlink r:id="rId19" w:history="1">
        <w:r w:rsidR="006E15D9" w:rsidRPr="006E15D9">
          <w:rPr>
            <w:rStyle w:val="a5"/>
            <w:lang w:val="en-US"/>
          </w:rPr>
          <w:t>10.528</w:t>
        </w:r>
        <w:r w:rsidR="006E15D9" w:rsidRPr="006E15D9">
          <w:rPr>
            <w:rStyle w:val="a5"/>
            <w:lang w:val="en-US"/>
          </w:rPr>
          <w:t>1</w:t>
        </w:r>
        <w:r w:rsidR="006E15D9" w:rsidRPr="006E15D9">
          <w:rPr>
            <w:rStyle w:val="a5"/>
            <w:lang w:val="en-US"/>
          </w:rPr>
          <w:t>/zenodo.3727209</w:t>
        </w:r>
      </w:hyperlink>
      <w:r w:rsidRPr="00D51789">
        <w:rPr>
          <w:lang w:val="en-US"/>
        </w:rPr>
        <w:t>.</w:t>
      </w:r>
    </w:p>
    <w:sectPr w:rsidR="00BB6E71" w:rsidRPr="00D51789" w:rsidSect="00714EA3">
      <w:footerReference w:type="default" r:id="rId20"/>
      <w:footnotePr>
        <w:pos w:val="beneathText"/>
      </w:footnotePr>
      <w:pgSz w:w="11906" w:h="16838"/>
      <w:pgMar w:top="964" w:right="1418" w:bottom="1134" w:left="1418" w:header="709" w:footer="709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C4" w:rsidRDefault="006134C4">
      <w:r>
        <w:separator/>
      </w:r>
    </w:p>
  </w:endnote>
  <w:endnote w:type="continuationSeparator" w:id="0">
    <w:p w:rsidR="006134C4" w:rsidRDefault="006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E" w:rsidRDefault="00473C1E" w:rsidP="00783240">
    <w:pPr>
      <w:pStyle w:val="a3"/>
      <w:ind w:right="360"/>
      <w:jc w:val="right"/>
      <w:rPr>
        <w:i/>
        <w:i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C4" w:rsidRDefault="006134C4">
      <w:r>
        <w:separator/>
      </w:r>
    </w:p>
  </w:footnote>
  <w:footnote w:type="continuationSeparator" w:id="0">
    <w:p w:rsidR="006134C4" w:rsidRDefault="006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F71"/>
    <w:multiLevelType w:val="hybridMultilevel"/>
    <w:tmpl w:val="74F6A59A"/>
    <w:lvl w:ilvl="0" w:tplc="5802AE5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6FFA"/>
    <w:multiLevelType w:val="hybridMultilevel"/>
    <w:tmpl w:val="31980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BD4DD3"/>
    <w:multiLevelType w:val="hybridMultilevel"/>
    <w:tmpl w:val="972C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75533"/>
    <w:multiLevelType w:val="hybridMultilevel"/>
    <w:tmpl w:val="85884C1A"/>
    <w:lvl w:ilvl="0" w:tplc="5DCEFD9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67173023"/>
    <w:multiLevelType w:val="hybridMultilevel"/>
    <w:tmpl w:val="8976F688"/>
    <w:lvl w:ilvl="0" w:tplc="5ABA107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doNotHyphenateCaps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0"/>
    <w:rsid w:val="00002759"/>
    <w:rsid w:val="00004BD2"/>
    <w:rsid w:val="00005232"/>
    <w:rsid w:val="000114B1"/>
    <w:rsid w:val="00012586"/>
    <w:rsid w:val="000136D3"/>
    <w:rsid w:val="000231A0"/>
    <w:rsid w:val="00024BAF"/>
    <w:rsid w:val="000362EF"/>
    <w:rsid w:val="000371A5"/>
    <w:rsid w:val="00070D94"/>
    <w:rsid w:val="00071209"/>
    <w:rsid w:val="0007535B"/>
    <w:rsid w:val="00076B25"/>
    <w:rsid w:val="0008108D"/>
    <w:rsid w:val="0008460D"/>
    <w:rsid w:val="00085E31"/>
    <w:rsid w:val="000A2E87"/>
    <w:rsid w:val="000A48F3"/>
    <w:rsid w:val="000A7806"/>
    <w:rsid w:val="000C01BC"/>
    <w:rsid w:val="000C115E"/>
    <w:rsid w:val="000D1993"/>
    <w:rsid w:val="000D6CB3"/>
    <w:rsid w:val="000E39D1"/>
    <w:rsid w:val="00120B32"/>
    <w:rsid w:val="0015243D"/>
    <w:rsid w:val="00152852"/>
    <w:rsid w:val="00185246"/>
    <w:rsid w:val="001B2087"/>
    <w:rsid w:val="001B559B"/>
    <w:rsid w:val="001D4EFC"/>
    <w:rsid w:val="001E5EF3"/>
    <w:rsid w:val="001F1F6B"/>
    <w:rsid w:val="001F5CC4"/>
    <w:rsid w:val="002068AC"/>
    <w:rsid w:val="00212A8F"/>
    <w:rsid w:val="00223310"/>
    <w:rsid w:val="00224D75"/>
    <w:rsid w:val="00225E86"/>
    <w:rsid w:val="002344CE"/>
    <w:rsid w:val="002349B2"/>
    <w:rsid w:val="0024147C"/>
    <w:rsid w:val="00252AAF"/>
    <w:rsid w:val="002823C0"/>
    <w:rsid w:val="002852E9"/>
    <w:rsid w:val="0028616D"/>
    <w:rsid w:val="002C0D3F"/>
    <w:rsid w:val="002D518A"/>
    <w:rsid w:val="002D7D9A"/>
    <w:rsid w:val="002F0CCB"/>
    <w:rsid w:val="00301979"/>
    <w:rsid w:val="00304A37"/>
    <w:rsid w:val="00306CC8"/>
    <w:rsid w:val="003247A2"/>
    <w:rsid w:val="00326C8A"/>
    <w:rsid w:val="00326EE5"/>
    <w:rsid w:val="003332C8"/>
    <w:rsid w:val="003443BB"/>
    <w:rsid w:val="00346505"/>
    <w:rsid w:val="00352B26"/>
    <w:rsid w:val="00371EFF"/>
    <w:rsid w:val="003851FC"/>
    <w:rsid w:val="00385354"/>
    <w:rsid w:val="00387311"/>
    <w:rsid w:val="00394168"/>
    <w:rsid w:val="00395315"/>
    <w:rsid w:val="003974F9"/>
    <w:rsid w:val="003A4689"/>
    <w:rsid w:val="003B4E60"/>
    <w:rsid w:val="003C04C4"/>
    <w:rsid w:val="003C0E1B"/>
    <w:rsid w:val="003C5A36"/>
    <w:rsid w:val="003D0FBA"/>
    <w:rsid w:val="003D1FFB"/>
    <w:rsid w:val="003E5637"/>
    <w:rsid w:val="003F01D7"/>
    <w:rsid w:val="003F1ACB"/>
    <w:rsid w:val="00403D82"/>
    <w:rsid w:val="00406281"/>
    <w:rsid w:val="00415FDF"/>
    <w:rsid w:val="00424750"/>
    <w:rsid w:val="00435ADF"/>
    <w:rsid w:val="004447CB"/>
    <w:rsid w:val="004519C1"/>
    <w:rsid w:val="00451EAA"/>
    <w:rsid w:val="004527BF"/>
    <w:rsid w:val="0045601C"/>
    <w:rsid w:val="00460156"/>
    <w:rsid w:val="004624AB"/>
    <w:rsid w:val="00470FDA"/>
    <w:rsid w:val="00473C1E"/>
    <w:rsid w:val="0047431F"/>
    <w:rsid w:val="004B0E0D"/>
    <w:rsid w:val="004B3427"/>
    <w:rsid w:val="004C145A"/>
    <w:rsid w:val="004C55DD"/>
    <w:rsid w:val="004D0706"/>
    <w:rsid w:val="004D4F08"/>
    <w:rsid w:val="004D534D"/>
    <w:rsid w:val="004F0068"/>
    <w:rsid w:val="004F27CF"/>
    <w:rsid w:val="0051778E"/>
    <w:rsid w:val="00517FC9"/>
    <w:rsid w:val="0053167A"/>
    <w:rsid w:val="00544D3E"/>
    <w:rsid w:val="00556EC0"/>
    <w:rsid w:val="00563012"/>
    <w:rsid w:val="005648C5"/>
    <w:rsid w:val="0057489A"/>
    <w:rsid w:val="005B19F5"/>
    <w:rsid w:val="005C3DFE"/>
    <w:rsid w:val="005C52BD"/>
    <w:rsid w:val="005F2B96"/>
    <w:rsid w:val="005F3766"/>
    <w:rsid w:val="005F5B7F"/>
    <w:rsid w:val="00610C26"/>
    <w:rsid w:val="006134C4"/>
    <w:rsid w:val="0062041F"/>
    <w:rsid w:val="006255FC"/>
    <w:rsid w:val="006279EE"/>
    <w:rsid w:val="00635B92"/>
    <w:rsid w:val="00640D6E"/>
    <w:rsid w:val="00641045"/>
    <w:rsid w:val="00644CF6"/>
    <w:rsid w:val="00654BBE"/>
    <w:rsid w:val="00664E70"/>
    <w:rsid w:val="00673402"/>
    <w:rsid w:val="0067378A"/>
    <w:rsid w:val="00680BA0"/>
    <w:rsid w:val="006B1207"/>
    <w:rsid w:val="006B57D4"/>
    <w:rsid w:val="006B65BE"/>
    <w:rsid w:val="006C0101"/>
    <w:rsid w:val="006C1FB7"/>
    <w:rsid w:val="006D4496"/>
    <w:rsid w:val="006E0401"/>
    <w:rsid w:val="006E1228"/>
    <w:rsid w:val="006E15D9"/>
    <w:rsid w:val="006E595C"/>
    <w:rsid w:val="006E5DAF"/>
    <w:rsid w:val="00714EA3"/>
    <w:rsid w:val="00722817"/>
    <w:rsid w:val="007312E2"/>
    <w:rsid w:val="0073581E"/>
    <w:rsid w:val="00745351"/>
    <w:rsid w:val="00747C00"/>
    <w:rsid w:val="007550D3"/>
    <w:rsid w:val="007614E1"/>
    <w:rsid w:val="00767C9A"/>
    <w:rsid w:val="00783240"/>
    <w:rsid w:val="00783756"/>
    <w:rsid w:val="007948DE"/>
    <w:rsid w:val="00795096"/>
    <w:rsid w:val="007A1E47"/>
    <w:rsid w:val="007A68EF"/>
    <w:rsid w:val="007A7DD5"/>
    <w:rsid w:val="007C1257"/>
    <w:rsid w:val="007C6814"/>
    <w:rsid w:val="007D6943"/>
    <w:rsid w:val="007E685D"/>
    <w:rsid w:val="007F173B"/>
    <w:rsid w:val="007F3251"/>
    <w:rsid w:val="008007C7"/>
    <w:rsid w:val="00800944"/>
    <w:rsid w:val="008031F9"/>
    <w:rsid w:val="008257D2"/>
    <w:rsid w:val="00837EC1"/>
    <w:rsid w:val="00845B35"/>
    <w:rsid w:val="00851D43"/>
    <w:rsid w:val="00860513"/>
    <w:rsid w:val="00866512"/>
    <w:rsid w:val="00871DE0"/>
    <w:rsid w:val="00880F05"/>
    <w:rsid w:val="00885213"/>
    <w:rsid w:val="008978C2"/>
    <w:rsid w:val="008A33F7"/>
    <w:rsid w:val="008B10A6"/>
    <w:rsid w:val="008C4143"/>
    <w:rsid w:val="008C59E1"/>
    <w:rsid w:val="008D5C89"/>
    <w:rsid w:val="008E343A"/>
    <w:rsid w:val="008F2F76"/>
    <w:rsid w:val="008F6C07"/>
    <w:rsid w:val="00903B43"/>
    <w:rsid w:val="00906ECE"/>
    <w:rsid w:val="00910EEB"/>
    <w:rsid w:val="00911B24"/>
    <w:rsid w:val="009129E5"/>
    <w:rsid w:val="00921949"/>
    <w:rsid w:val="00930341"/>
    <w:rsid w:val="0093476D"/>
    <w:rsid w:val="0095073E"/>
    <w:rsid w:val="00965259"/>
    <w:rsid w:val="009679BC"/>
    <w:rsid w:val="00971FBE"/>
    <w:rsid w:val="00974F83"/>
    <w:rsid w:val="00992EFF"/>
    <w:rsid w:val="009A0A27"/>
    <w:rsid w:val="009A13EA"/>
    <w:rsid w:val="009A3CEB"/>
    <w:rsid w:val="009C10EC"/>
    <w:rsid w:val="009C1B47"/>
    <w:rsid w:val="009C1E15"/>
    <w:rsid w:val="009C7F07"/>
    <w:rsid w:val="009D55A1"/>
    <w:rsid w:val="009D63FE"/>
    <w:rsid w:val="009D6D5B"/>
    <w:rsid w:val="009D7ED1"/>
    <w:rsid w:val="009F3489"/>
    <w:rsid w:val="00A02DD8"/>
    <w:rsid w:val="00A128FA"/>
    <w:rsid w:val="00A446E9"/>
    <w:rsid w:val="00A52AF5"/>
    <w:rsid w:val="00A5533B"/>
    <w:rsid w:val="00A63D0B"/>
    <w:rsid w:val="00A76D74"/>
    <w:rsid w:val="00A966AB"/>
    <w:rsid w:val="00AA22C1"/>
    <w:rsid w:val="00AB2C0B"/>
    <w:rsid w:val="00AC2837"/>
    <w:rsid w:val="00AE12DE"/>
    <w:rsid w:val="00AE7335"/>
    <w:rsid w:val="00AF0704"/>
    <w:rsid w:val="00B22A79"/>
    <w:rsid w:val="00B250D2"/>
    <w:rsid w:val="00B26E8F"/>
    <w:rsid w:val="00B62518"/>
    <w:rsid w:val="00B72192"/>
    <w:rsid w:val="00B74AEB"/>
    <w:rsid w:val="00B85A09"/>
    <w:rsid w:val="00BA73DE"/>
    <w:rsid w:val="00BB20C1"/>
    <w:rsid w:val="00BB6374"/>
    <w:rsid w:val="00BB6E71"/>
    <w:rsid w:val="00BC5184"/>
    <w:rsid w:val="00BD0A83"/>
    <w:rsid w:val="00BD4BDD"/>
    <w:rsid w:val="00BD7FE5"/>
    <w:rsid w:val="00BE2A63"/>
    <w:rsid w:val="00BE6BD8"/>
    <w:rsid w:val="00C15C24"/>
    <w:rsid w:val="00C315E8"/>
    <w:rsid w:val="00C41819"/>
    <w:rsid w:val="00C5088A"/>
    <w:rsid w:val="00C564B2"/>
    <w:rsid w:val="00C67F20"/>
    <w:rsid w:val="00C708E9"/>
    <w:rsid w:val="00C90E1E"/>
    <w:rsid w:val="00C97CDD"/>
    <w:rsid w:val="00CA21E2"/>
    <w:rsid w:val="00CB1D59"/>
    <w:rsid w:val="00CB548C"/>
    <w:rsid w:val="00CC0A4A"/>
    <w:rsid w:val="00CC0AA1"/>
    <w:rsid w:val="00CC198C"/>
    <w:rsid w:val="00CC2570"/>
    <w:rsid w:val="00CC2F41"/>
    <w:rsid w:val="00CC3EB5"/>
    <w:rsid w:val="00CC6843"/>
    <w:rsid w:val="00CF0486"/>
    <w:rsid w:val="00D05C2A"/>
    <w:rsid w:val="00D06032"/>
    <w:rsid w:val="00D06437"/>
    <w:rsid w:val="00D06C02"/>
    <w:rsid w:val="00D3295A"/>
    <w:rsid w:val="00D51789"/>
    <w:rsid w:val="00D535FE"/>
    <w:rsid w:val="00D550B8"/>
    <w:rsid w:val="00D57D2F"/>
    <w:rsid w:val="00D610D3"/>
    <w:rsid w:val="00D65CB7"/>
    <w:rsid w:val="00D73733"/>
    <w:rsid w:val="00D747FE"/>
    <w:rsid w:val="00D755EA"/>
    <w:rsid w:val="00D84F23"/>
    <w:rsid w:val="00D8705C"/>
    <w:rsid w:val="00D92471"/>
    <w:rsid w:val="00D92E09"/>
    <w:rsid w:val="00DA0BF7"/>
    <w:rsid w:val="00DA0F55"/>
    <w:rsid w:val="00DB7A43"/>
    <w:rsid w:val="00DE0798"/>
    <w:rsid w:val="00DE392B"/>
    <w:rsid w:val="00DE4C80"/>
    <w:rsid w:val="00DF400A"/>
    <w:rsid w:val="00DF6F6F"/>
    <w:rsid w:val="00E00048"/>
    <w:rsid w:val="00E040C2"/>
    <w:rsid w:val="00E10A9E"/>
    <w:rsid w:val="00E2314A"/>
    <w:rsid w:val="00E30626"/>
    <w:rsid w:val="00E454B0"/>
    <w:rsid w:val="00E52F60"/>
    <w:rsid w:val="00E576E0"/>
    <w:rsid w:val="00E615A0"/>
    <w:rsid w:val="00E62C76"/>
    <w:rsid w:val="00E77318"/>
    <w:rsid w:val="00E8278F"/>
    <w:rsid w:val="00E90DD2"/>
    <w:rsid w:val="00E914E6"/>
    <w:rsid w:val="00E9628F"/>
    <w:rsid w:val="00EA2B57"/>
    <w:rsid w:val="00EA57D1"/>
    <w:rsid w:val="00EA71E3"/>
    <w:rsid w:val="00EC0399"/>
    <w:rsid w:val="00EC308C"/>
    <w:rsid w:val="00EC3DCB"/>
    <w:rsid w:val="00ED59E4"/>
    <w:rsid w:val="00EE4177"/>
    <w:rsid w:val="00EF0B20"/>
    <w:rsid w:val="00EF5F11"/>
    <w:rsid w:val="00F0081D"/>
    <w:rsid w:val="00F03E4F"/>
    <w:rsid w:val="00F126BD"/>
    <w:rsid w:val="00F23ADF"/>
    <w:rsid w:val="00F23CBC"/>
    <w:rsid w:val="00F23E80"/>
    <w:rsid w:val="00F26A07"/>
    <w:rsid w:val="00F30701"/>
    <w:rsid w:val="00F3594C"/>
    <w:rsid w:val="00F408A7"/>
    <w:rsid w:val="00F41FD5"/>
    <w:rsid w:val="00F44A3A"/>
    <w:rsid w:val="00F45D3F"/>
    <w:rsid w:val="00F70EF7"/>
    <w:rsid w:val="00F84742"/>
    <w:rsid w:val="00F93063"/>
    <w:rsid w:val="00F9552A"/>
    <w:rsid w:val="00FA0AD8"/>
    <w:rsid w:val="00FA4A4B"/>
    <w:rsid w:val="00FB30C8"/>
    <w:rsid w:val="00FB3AA3"/>
    <w:rsid w:val="00FB6876"/>
    <w:rsid w:val="00FC0059"/>
    <w:rsid w:val="00FC1BFB"/>
    <w:rsid w:val="00FC5AB2"/>
    <w:rsid w:val="00FD209C"/>
    <w:rsid w:val="00FD5E75"/>
    <w:rsid w:val="00FE0F55"/>
    <w:rsid w:val="00FE1C70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866715-E3FD-4A84-B4C3-CDBC9ED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1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pPr>
      <w:jc w:val="center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styleId="af0">
    <w:name w:val="Body Text Indent"/>
    <w:basedOn w:val="a"/>
    <w:link w:val="af1"/>
    <w:uiPriority w:val="99"/>
    <w:pPr>
      <w:ind w:right="-6" w:firstLine="181"/>
      <w:jc w:val="both"/>
    </w:pPr>
    <w:rPr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tbb12">
    <w:name w:val="tbb12"/>
    <w:basedOn w:val="a0"/>
    <w:rsid w:val="00A63D0B"/>
  </w:style>
  <w:style w:type="paragraph" w:styleId="af3">
    <w:name w:val="Balloon Text"/>
    <w:basedOn w:val="a"/>
    <w:link w:val="af4"/>
    <w:uiPriority w:val="99"/>
    <w:semiHidden/>
    <w:unhideWhenUsed/>
    <w:rsid w:val="00A63D0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D0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301979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20B32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9129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129E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129E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129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1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hyperlink" Target="https://doi.org/10.17632/%20xwj98nb39r.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tandem.bu.edu/trf/tr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371/journal.pone.00744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doi.org/10.1134/S102279541408002X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doi.org/10.5281/zenodo.37272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MBB_Article_Template</vt:lpstr>
      <vt:lpstr>Dynamics of Charge Transfer in Ordered and Chaotic</vt:lpstr>
    </vt:vector>
  </TitlesOfParts>
  <Company>IMPB</Company>
  <LinksUpToDate>false</LinksUpToDate>
  <CharactersWithSpaces>8826</CharactersWithSpaces>
  <SharedDoc>false</SharedDoc>
  <HLinks>
    <vt:vector size="24" baseType="variant">
      <vt:variant>
        <vt:i4>4718665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https://doi.org/10.1371/journal.pone.0074487</vt:lpwstr>
      </vt:variant>
      <vt:variant>
        <vt:lpwstr/>
      </vt:variant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http://www.crossref.org/guestquery/</vt:lpwstr>
      </vt:variant>
      <vt:variant>
        <vt:lpwstr/>
      </vt:variant>
      <vt:variant>
        <vt:i4>1179679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https://doi.org/10.1134/S102279541408002X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http://tandem.bu.edu/trf/trf.html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MBB_Article_Template</dc:title>
  <dc:subject/>
  <dc:creator>Серая Ольга</dc:creator>
  <cp:keywords/>
  <dc:description/>
  <cp:lastModifiedBy>Учетная запись Майкрософт</cp:lastModifiedBy>
  <cp:revision>7</cp:revision>
  <cp:lastPrinted>2013-01-30T14:28:00Z</cp:lastPrinted>
  <dcterms:created xsi:type="dcterms:W3CDTF">2020-12-09T19:07:00Z</dcterms:created>
  <dcterms:modified xsi:type="dcterms:W3CDTF">2023-05-15T21:44:00Z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